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harts/chart1.xml" ContentType="application/vnd.openxmlformats-officedocument.drawingml.chart+xml"/>
  <Override PartName="/word/charts/chart2.xml" ContentType="application/vnd.openxmlformats-officedocument.drawingml.chart+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adjustRightInd w:val="0"/>
        <w:spacing w:line="360" w:lineRule="auto"/>
        <w:jc w:val="center"/>
        <w:textAlignment w:val="baseline"/>
        <w:rPr>
          <w:rFonts w:ascii="方正小标宋简体" w:hAnsi="宋体" w:eastAsia="方正小标宋简体"/>
          <w:sz w:val="32"/>
          <w:szCs w:val="32"/>
        </w:rPr>
      </w:pPr>
      <w:r>
        <w:rPr>
          <w:rFonts w:hint="eastAsia" w:ascii="方正小标宋简体" w:hAnsi="宋体" w:eastAsia="方正小标宋简体"/>
          <w:sz w:val="32"/>
          <w:szCs w:val="32"/>
        </w:rPr>
        <w:t>贵州省</w:t>
      </w:r>
      <w:r>
        <w:rPr>
          <w:rFonts w:ascii="方正小标宋简体" w:hAnsi="宋体" w:eastAsia="方正小标宋简体"/>
          <w:sz w:val="32"/>
          <w:szCs w:val="32"/>
        </w:rPr>
        <w:t>食品安全地方标准</w:t>
      </w:r>
      <w:r>
        <w:rPr>
          <w:rFonts w:hint="eastAsia" w:ascii="方正小标宋简体" w:hAnsi="宋体" w:eastAsia="方正小标宋简体"/>
          <w:sz w:val="32"/>
          <w:szCs w:val="32"/>
        </w:rPr>
        <w:t>《</w:t>
      </w:r>
      <w:r>
        <w:rPr>
          <w:rFonts w:ascii="方正小标宋简体" w:hAnsi="宋体" w:eastAsia="方正小标宋简体"/>
          <w:sz w:val="32"/>
          <w:szCs w:val="32"/>
        </w:rPr>
        <w:t>铁皮石斛叶》</w:t>
      </w:r>
    </w:p>
    <w:p>
      <w:pPr>
        <w:adjustRightInd w:val="0"/>
        <w:spacing w:line="360" w:lineRule="auto"/>
        <w:jc w:val="center"/>
        <w:textAlignment w:val="baseline"/>
        <w:rPr>
          <w:rFonts w:ascii="方正小标宋简体" w:hAnsi="宋体" w:eastAsia="方正小标宋简体"/>
          <w:sz w:val="32"/>
          <w:szCs w:val="32"/>
        </w:rPr>
      </w:pPr>
      <w:r>
        <w:rPr>
          <w:rFonts w:ascii="方正小标宋简体" w:hAnsi="宋体" w:eastAsia="方正小标宋简体"/>
          <w:sz w:val="32"/>
          <w:szCs w:val="32"/>
        </w:rPr>
        <w:t>编制说明</w:t>
      </w:r>
    </w:p>
    <w:p>
      <w:pPr>
        <w:spacing w:line="360" w:lineRule="auto"/>
      </w:pPr>
    </w:p>
    <w:p>
      <w:pPr>
        <w:pStyle w:val="16"/>
        <w:adjustRightInd w:val="0"/>
        <w:snapToGrid w:val="0"/>
        <w:spacing w:before="120" w:beforeLines="50" w:after="120" w:afterLines="50" w:line="360" w:lineRule="auto"/>
        <w:ind w:firstLine="560" w:firstLineChars="200"/>
        <w:rPr>
          <w:rFonts w:ascii="Times New Roman" w:hAnsi="Times New Roman"/>
          <w:b w:val="0"/>
          <w:sz w:val="28"/>
          <w:szCs w:val="28"/>
        </w:rPr>
      </w:pPr>
      <w:bookmarkStart w:id="0" w:name="_Toc331368375"/>
      <w:r>
        <w:rPr>
          <w:rFonts w:ascii="Times New Roman" w:hAnsi="Times New Roman"/>
          <w:b w:val="0"/>
          <w:sz w:val="28"/>
          <w:szCs w:val="28"/>
        </w:rPr>
        <w:t>一、</w:t>
      </w:r>
      <w:bookmarkEnd w:id="0"/>
      <w:r>
        <w:rPr>
          <w:rFonts w:ascii="Times New Roman" w:hAnsi="Times New Roman"/>
          <w:b w:val="0"/>
          <w:sz w:val="28"/>
          <w:szCs w:val="28"/>
        </w:rPr>
        <w:t>标准起草的基本情况</w:t>
      </w:r>
    </w:p>
    <w:p>
      <w:pPr>
        <w:widowControl/>
        <w:adjustRightInd w:val="0"/>
        <w:snapToGrid w:val="0"/>
        <w:spacing w:line="360" w:lineRule="auto"/>
        <w:ind w:firstLine="420" w:firstLineChars="200"/>
        <w:rPr>
          <w:szCs w:val="21"/>
        </w:rPr>
      </w:pPr>
      <w:r>
        <w:rPr>
          <w:szCs w:val="21"/>
        </w:rPr>
        <w:t>根据《</w:t>
      </w:r>
      <w:r>
        <w:rPr>
          <w:rFonts w:hint="eastAsia"/>
          <w:szCs w:val="21"/>
        </w:rPr>
        <w:t>贵州</w:t>
      </w:r>
      <w:r>
        <w:rPr>
          <w:szCs w:val="21"/>
        </w:rPr>
        <w:t>省</w:t>
      </w:r>
      <w:r>
        <w:rPr>
          <w:rFonts w:hint="eastAsia"/>
          <w:szCs w:val="21"/>
        </w:rPr>
        <w:t>卫生健康</w:t>
      </w:r>
      <w:r>
        <w:rPr>
          <w:szCs w:val="21"/>
        </w:rPr>
        <w:t>委员会</w:t>
      </w:r>
      <w:r>
        <w:rPr>
          <w:rFonts w:hint="eastAsia"/>
          <w:szCs w:val="21"/>
        </w:rPr>
        <w:t>关于开展2019年贵州省食品安全地方标准制定工作的通知</w:t>
      </w:r>
      <w:r>
        <w:rPr>
          <w:szCs w:val="21"/>
        </w:rPr>
        <w:t>》要求，</w:t>
      </w:r>
      <w:r>
        <w:rPr>
          <w:rFonts w:hint="eastAsia"/>
          <w:szCs w:val="21"/>
        </w:rPr>
        <w:t>受贵州省</w:t>
      </w:r>
      <w:r>
        <w:rPr>
          <w:szCs w:val="21"/>
        </w:rPr>
        <w:t>卫生健康委（原省卫生计生委）委托</w:t>
      </w:r>
      <w:r>
        <w:rPr>
          <w:rFonts w:hint="eastAsia"/>
          <w:szCs w:val="21"/>
        </w:rPr>
        <w:t>贵州中医药大学</w:t>
      </w:r>
      <w:r>
        <w:rPr>
          <w:szCs w:val="21"/>
        </w:rPr>
        <w:t>承担《</w:t>
      </w:r>
      <w:r>
        <w:rPr>
          <w:rFonts w:hint="eastAsia"/>
          <w:szCs w:val="21"/>
        </w:rPr>
        <w:t>贵州</w:t>
      </w:r>
      <w:r>
        <w:rPr>
          <w:szCs w:val="21"/>
        </w:rPr>
        <w:t>铁皮石斛叶》标准制定项目。</w:t>
      </w:r>
      <w:r>
        <w:rPr>
          <w:rFonts w:hint="eastAsia"/>
          <w:szCs w:val="21"/>
        </w:rPr>
        <w:t>贵州省疾病预防控制中心</w:t>
      </w:r>
      <w:r>
        <w:rPr>
          <w:szCs w:val="21"/>
        </w:rPr>
        <w:t>、</w:t>
      </w:r>
      <w:r>
        <w:rPr>
          <w:rFonts w:hint="eastAsia"/>
          <w:szCs w:val="21"/>
        </w:rPr>
        <w:t>贵州威门药业股份有限公司、四川大学</w:t>
      </w:r>
      <w:r>
        <w:rPr>
          <w:szCs w:val="21"/>
        </w:rPr>
        <w:t>作为协作单位参与标准的制定。</w:t>
      </w:r>
      <w:r>
        <w:rPr>
          <w:rFonts w:hint="eastAsia"/>
          <w:szCs w:val="21"/>
        </w:rPr>
        <w:t>标准主要起草人为：张丽艳、吕享、唐靖雯、刘利亚、蒲翔、高鸿、马四补、卢礼平、李军、邹颉、何康、柴艺汇、周永强、黄毅娜、刘晓龙、车鑫、杨菁、潘梅、彭政忠。</w:t>
      </w:r>
    </w:p>
    <w:p>
      <w:pPr>
        <w:widowControl/>
        <w:adjustRightInd w:val="0"/>
        <w:snapToGrid w:val="0"/>
        <w:spacing w:line="360" w:lineRule="auto"/>
        <w:ind w:firstLine="420" w:firstLineChars="200"/>
        <w:rPr>
          <w:szCs w:val="21"/>
        </w:rPr>
      </w:pPr>
      <w:r>
        <w:rPr>
          <w:rFonts w:hint="eastAsia"/>
          <w:szCs w:val="21"/>
        </w:rPr>
        <w:t>在标准制定过程中，协作单位四川大学完成安全毒理学试验（附件一）；贵州省疾病预防控制中心完成水分、灰分、粗多糖、蛋白质含量检测（附件二）以及3</w:t>
      </w:r>
      <w:r>
        <w:rPr>
          <w:szCs w:val="21"/>
        </w:rPr>
        <w:t>5</w:t>
      </w:r>
      <w:r>
        <w:rPr>
          <w:rFonts w:hint="eastAsia"/>
          <w:szCs w:val="21"/>
        </w:rPr>
        <w:t>种市售常用农药残留（附件三）、10种叶类易污染的真菌毒素、3</w:t>
      </w:r>
      <w:r>
        <w:rPr>
          <w:szCs w:val="21"/>
        </w:rPr>
        <w:t>3</w:t>
      </w:r>
      <w:r>
        <w:rPr>
          <w:rFonts w:hint="eastAsia"/>
          <w:szCs w:val="21"/>
        </w:rPr>
        <w:t>种金属或类金属以及1</w:t>
      </w:r>
      <w:r>
        <w:rPr>
          <w:szCs w:val="21"/>
        </w:rPr>
        <w:t>6</w:t>
      </w:r>
      <w:r>
        <w:rPr>
          <w:rFonts w:hint="eastAsia"/>
          <w:szCs w:val="21"/>
        </w:rPr>
        <w:t>种稀土元素监测筛查（附件四）。</w:t>
      </w:r>
    </w:p>
    <w:p>
      <w:pPr>
        <w:widowControl/>
        <w:adjustRightInd w:val="0"/>
        <w:snapToGrid w:val="0"/>
        <w:spacing w:line="360" w:lineRule="auto"/>
        <w:ind w:firstLine="420" w:firstLineChars="200"/>
        <w:rPr>
          <w:rFonts w:ascii="宋体" w:hAnsi="宋体" w:cs="宋体"/>
          <w:szCs w:val="21"/>
        </w:rPr>
      </w:pPr>
      <w:r>
        <w:rPr>
          <w:rFonts w:hint="eastAsia"/>
          <w:szCs w:val="21"/>
        </w:rPr>
        <w:t>标准草案编制工作总历时</w:t>
      </w:r>
      <w:r>
        <w:rPr>
          <w:szCs w:val="21"/>
        </w:rPr>
        <w:t>9</w:t>
      </w:r>
      <w:r>
        <w:rPr>
          <w:rFonts w:hint="eastAsia"/>
          <w:szCs w:val="21"/>
        </w:rPr>
        <w:t>个月。主要工作过程包括以下</w:t>
      </w:r>
      <w:r>
        <w:rPr>
          <w:szCs w:val="21"/>
        </w:rPr>
        <w:t>8</w:t>
      </w:r>
      <w:r>
        <w:rPr>
          <w:rFonts w:hint="eastAsia"/>
          <w:szCs w:val="21"/>
        </w:rPr>
        <w:t>个阶段：</w:t>
      </w:r>
      <w:r>
        <w:rPr>
          <w:szCs w:val="21"/>
        </w:rPr>
        <w:t>1</w:t>
      </w:r>
      <w:r>
        <w:rPr>
          <w:rFonts w:hint="eastAsia"/>
          <w:szCs w:val="21"/>
        </w:rPr>
        <w:t>. 产业发展及技术标准现状分析；</w:t>
      </w:r>
      <w:r>
        <w:rPr>
          <w:szCs w:val="21"/>
        </w:rPr>
        <w:t>2</w:t>
      </w:r>
      <w:r>
        <w:rPr>
          <w:rFonts w:hint="eastAsia"/>
          <w:szCs w:val="21"/>
        </w:rPr>
        <w:t>. 标准草案框架确定；</w:t>
      </w:r>
      <w:r>
        <w:rPr>
          <w:szCs w:val="21"/>
        </w:rPr>
        <w:t>3</w:t>
      </w:r>
      <w:r>
        <w:rPr>
          <w:rFonts w:hint="eastAsia"/>
          <w:szCs w:val="21"/>
        </w:rPr>
        <w:t xml:space="preserve">. </w:t>
      </w:r>
      <w:r>
        <w:rPr>
          <w:szCs w:val="21"/>
        </w:rPr>
        <w:t>实地调研铁皮石斛</w:t>
      </w:r>
      <w:r>
        <w:rPr>
          <w:rFonts w:hint="eastAsia"/>
          <w:szCs w:val="21"/>
        </w:rPr>
        <w:t>叶生产工艺；</w:t>
      </w:r>
      <w:r>
        <w:rPr>
          <w:szCs w:val="21"/>
        </w:rPr>
        <w:t>4</w:t>
      </w:r>
      <w:r>
        <w:rPr>
          <w:rFonts w:hint="eastAsia"/>
          <w:szCs w:val="21"/>
        </w:rPr>
        <w:t>. 收集整理企业前期检测数据；</w:t>
      </w:r>
      <w:r>
        <w:rPr>
          <w:szCs w:val="21"/>
        </w:rPr>
        <w:t>5</w:t>
      </w:r>
      <w:r>
        <w:rPr>
          <w:rFonts w:hint="eastAsia"/>
          <w:szCs w:val="21"/>
        </w:rPr>
        <w:t>. 采集样品实验室检测；</w:t>
      </w:r>
      <w:r>
        <w:rPr>
          <w:szCs w:val="21"/>
        </w:rPr>
        <w:t>6</w:t>
      </w:r>
      <w:r>
        <w:rPr>
          <w:rFonts w:hint="eastAsia"/>
          <w:szCs w:val="21"/>
        </w:rPr>
        <w:t>. 标准草案编制及研讨；</w:t>
      </w:r>
      <w:r>
        <w:rPr>
          <w:szCs w:val="21"/>
        </w:rPr>
        <w:t>7</w:t>
      </w:r>
      <w:r>
        <w:rPr>
          <w:rFonts w:hint="eastAsia"/>
          <w:szCs w:val="21"/>
        </w:rPr>
        <w:t>. 行业公开征求意见；</w:t>
      </w:r>
      <w:r>
        <w:rPr>
          <w:szCs w:val="21"/>
        </w:rPr>
        <w:t>8</w:t>
      </w:r>
      <w:r>
        <w:rPr>
          <w:rFonts w:hint="eastAsia"/>
          <w:szCs w:val="21"/>
        </w:rPr>
        <w:t>. 形</w:t>
      </w:r>
      <w:r>
        <w:rPr>
          <w:rFonts w:hint="eastAsia" w:ascii="宋体" w:hAnsi="宋体" w:cs="宋体"/>
          <w:szCs w:val="21"/>
        </w:rPr>
        <w:t>成标准征求意见稿。</w:t>
      </w:r>
    </w:p>
    <w:p>
      <w:pPr>
        <w:pStyle w:val="16"/>
        <w:spacing w:before="120" w:beforeLines="50" w:after="120" w:afterLines="50" w:line="360" w:lineRule="auto"/>
        <w:ind w:firstLine="560" w:firstLineChars="200"/>
        <w:rPr>
          <w:rFonts w:ascii="Times New Roman" w:hAnsi="Times New Roman"/>
          <w:b w:val="0"/>
          <w:sz w:val="28"/>
          <w:szCs w:val="28"/>
        </w:rPr>
      </w:pPr>
      <w:r>
        <w:rPr>
          <w:rFonts w:hint="eastAsia" w:ascii="Times New Roman" w:hAnsi="Times New Roman"/>
          <w:b w:val="0"/>
          <w:sz w:val="28"/>
          <w:szCs w:val="28"/>
        </w:rPr>
        <w:t>二、背景说明</w:t>
      </w:r>
    </w:p>
    <w:p>
      <w:pPr>
        <w:widowControl/>
        <w:adjustRightInd w:val="0"/>
        <w:snapToGrid w:val="0"/>
        <w:spacing w:line="360" w:lineRule="auto"/>
        <w:ind w:firstLine="420" w:firstLineChars="200"/>
        <w:rPr>
          <w:szCs w:val="21"/>
        </w:rPr>
      </w:pPr>
      <w:r>
        <w:rPr>
          <w:rFonts w:hint="eastAsia"/>
          <w:szCs w:val="21"/>
        </w:rPr>
        <w:t xml:space="preserve">铁皮石斛（Dendrobium officinale Kimura et Migo）为兰科石斛属多年生草本植物，以其干燥茎入药。贵州是石斛属野生资源主要分布区和栽培石斛的主产区之一，以铁皮石斛和金钗石斛为主。尤其是铁皮石斛，几乎在贵州全境均有种植。事实证明，石斛产业具备拉动区域经济发展、实现一方脱贫致富的潜质，因此于2018年被列为贵州十二大重点发展产业之一。“脱贫攻坚是我省最大的政治任务和基本责任所在”，因此发展好石斛产业为决胜脱贫攻坚任务提供有力保障。 </w:t>
      </w:r>
    </w:p>
    <w:p>
      <w:pPr>
        <w:widowControl/>
        <w:adjustRightInd w:val="0"/>
        <w:snapToGrid w:val="0"/>
        <w:spacing w:line="360" w:lineRule="auto"/>
        <w:ind w:firstLine="420" w:firstLineChars="200"/>
        <w:rPr>
          <w:szCs w:val="21"/>
        </w:rPr>
      </w:pPr>
      <w:r>
        <w:rPr>
          <w:rFonts w:hint="eastAsia"/>
          <w:szCs w:val="21"/>
        </w:rPr>
        <w:t>贵州铁皮石斛具有种植面积大、产量高等特点，但往往只取其茎，大量的铁皮石斛叶被丢弃在田间，一方面造成资源浪费，另一方面造成环境污染。如果能将铁皮石斛叶加以有效利用，则可以变废为宝，也有利于贵州石斛产业的发展。</w:t>
      </w:r>
    </w:p>
    <w:p>
      <w:pPr>
        <w:widowControl/>
        <w:adjustRightInd w:val="0"/>
        <w:snapToGrid w:val="0"/>
        <w:spacing w:line="360" w:lineRule="auto"/>
        <w:ind w:firstLine="420" w:firstLineChars="200"/>
        <w:rPr>
          <w:szCs w:val="21"/>
        </w:rPr>
      </w:pPr>
      <w:r>
        <w:rPr>
          <w:rFonts w:hint="eastAsia"/>
          <w:szCs w:val="21"/>
        </w:rPr>
        <w:t>在民间铁皮石斛叶有长期的食用史，食用方式和食品种类繁多。如：蛋炒石斛叶、铁皮石斛叶面条、铁皮石斛叶酒等。然而，这些铁皮石斛叶食品因缺乏食品标准的支持而无法推广，因此，有必要制定贵州铁皮石斛叶食品安全地方标准。</w:t>
      </w:r>
    </w:p>
    <w:p>
      <w:pPr>
        <w:widowControl/>
        <w:adjustRightInd w:val="0"/>
        <w:snapToGrid w:val="0"/>
        <w:spacing w:line="360" w:lineRule="auto"/>
        <w:ind w:firstLine="420" w:firstLineChars="200"/>
        <w:rPr>
          <w:szCs w:val="21"/>
        </w:rPr>
      </w:pPr>
      <w:r>
        <w:rPr>
          <w:rFonts w:hint="eastAsia"/>
          <w:szCs w:val="21"/>
        </w:rPr>
        <w:t>文献调研表明，铁皮石斛叶具有滋阴润肺、养胃生津、健脑明目、清热、补五脏之虚劳的功效。其叶含有铁皮石斛粗多糖、还原糖、蛋白质、多种微量元素（铁、锰、锌、硒）等。研究证实，铁皮石斛叶中氨基酸、黄酮苷含量远高于铁皮石斛茎。现代药理研究表明，铁皮石斛叶具有较高的抗氧化应用价值。2018年6月国家卫计委将铁皮石斛叶纳入了“地方特色食品”管理。这些条件说明铁皮石斛叶具有极高的开发潜力和广阔的应用市场。</w:t>
      </w:r>
    </w:p>
    <w:p>
      <w:pPr>
        <w:widowControl/>
        <w:adjustRightInd w:val="0"/>
        <w:snapToGrid w:val="0"/>
        <w:spacing w:line="360" w:lineRule="auto"/>
        <w:ind w:firstLine="420" w:firstLineChars="200"/>
        <w:rPr>
          <w:szCs w:val="21"/>
        </w:rPr>
      </w:pPr>
      <w:r>
        <w:rPr>
          <w:rFonts w:hint="eastAsia"/>
          <w:szCs w:val="21"/>
        </w:rPr>
        <w:t>虽然贵州铁皮石斛叶具有开发潜力，但铁皮石斛的种植几乎遍布贵州全境，各地品质不均，可能存在潜在的食用安全隐患。因此，开展贵州铁皮石斛叶食品安全地方标准研究迫在眉睫。本标准的制定，不仅有利于促进综合开发铁皮石斛资源，延伸石斛产业链，为贵州铁皮石斛叶作为食品原料或辅料的产品开发提供法定依据与技术保障，甚至可在铁皮石斛叶国家标准的制定中起到引领作用。</w:t>
      </w:r>
    </w:p>
    <w:p>
      <w:pPr>
        <w:pStyle w:val="16"/>
        <w:adjustRightInd w:val="0"/>
        <w:snapToGrid w:val="0"/>
        <w:spacing w:before="120" w:beforeLines="50" w:after="120" w:afterLines="50" w:line="360" w:lineRule="auto"/>
        <w:ind w:firstLine="560" w:firstLineChars="200"/>
        <w:rPr>
          <w:rFonts w:ascii="Times New Roman" w:hAnsi="Times New Roman"/>
          <w:b w:val="0"/>
          <w:sz w:val="28"/>
          <w:szCs w:val="28"/>
        </w:rPr>
      </w:pPr>
      <w:r>
        <w:rPr>
          <w:rFonts w:hint="eastAsia" w:ascii="Times New Roman" w:hAnsi="Times New Roman"/>
          <w:b w:val="0"/>
          <w:sz w:val="28"/>
          <w:szCs w:val="28"/>
        </w:rPr>
        <w:t>三、标准的起草原则</w:t>
      </w:r>
    </w:p>
    <w:p>
      <w:pPr>
        <w:spacing w:line="360" w:lineRule="auto"/>
        <w:ind w:firstLine="420" w:firstLineChars="200"/>
      </w:pPr>
      <w:r>
        <w:rPr>
          <w:rFonts w:hint="eastAsia"/>
        </w:rPr>
        <w:t>本标准编制遵循“先进性、实用性、统一性、规范性”的原则，尽可能与国际通行标准接轨。注重标准的可操作性，严格按照《食品安全法》、《产品质量安全法》的规定，以食品安全风险评估结果为主要依据。充分考虑本省铁皮石斛种植单位的客观实际需要及地方经济发展，促进贵州铁皮石斛贸易与交流，进一步推动铁皮石斛食品产业发展及规范贵州省铁皮石斛产业健康有序发展。本标准编写组按照遵守技术性贸易壁垒协议（TBT协议），保护消费者权益，促进贸易与交流，制定贵州铁皮石斛叶食品安全地方标准，力求完整、清晰、准确。在标准制定过程中，坚持安全性、科学性、合理性和适用性的原则而设置拟定的限值，同时考虑能被未参加标准制定的专业技术人员所理解或采用的原则进行了标准的起草工作。</w:t>
      </w:r>
    </w:p>
    <w:p>
      <w:pPr>
        <w:spacing w:line="360" w:lineRule="auto"/>
        <w:ind w:firstLine="420" w:firstLineChars="200"/>
      </w:pPr>
      <w:r>
        <w:rPr>
          <w:rFonts w:hint="eastAsia"/>
        </w:rPr>
        <w:t>标准起草过程中不盲目求大求全，结合产业发展的实际状况，避免复杂化和纯学术化。不增加种植农户或企业的不合理负担，不增加食品生产企业的不合理负担。结合种植户访谈，企业走访和行业专家咨询，充分听取各方意见。</w:t>
      </w:r>
    </w:p>
    <w:p>
      <w:pPr>
        <w:spacing w:line="360" w:lineRule="auto"/>
        <w:ind w:firstLine="420" w:firstLineChars="200"/>
      </w:pPr>
      <w:r>
        <w:rPr>
          <w:rFonts w:hint="eastAsia"/>
        </w:rPr>
        <w:t>本标准的格式按GB/T 1.1-2009《标准化工作导则第1部分：标准的结构和编写规则》的原则进行编制。</w:t>
      </w:r>
    </w:p>
    <w:p>
      <w:pPr>
        <w:spacing w:line="360" w:lineRule="auto"/>
        <w:ind w:firstLine="424" w:firstLineChars="202"/>
      </w:pPr>
      <w:r>
        <w:rPr>
          <w:rFonts w:hint="eastAsia"/>
        </w:rPr>
        <w:t>本标准符合现行的法律法规和强制性(国家、行业、地方)标准要求。</w:t>
      </w:r>
    </w:p>
    <w:p>
      <w:pPr>
        <w:pStyle w:val="16"/>
        <w:adjustRightInd w:val="0"/>
        <w:snapToGrid w:val="0"/>
        <w:spacing w:before="120" w:beforeLines="50" w:after="120" w:afterLines="50" w:line="360" w:lineRule="auto"/>
        <w:ind w:firstLine="560" w:firstLineChars="200"/>
        <w:rPr>
          <w:rFonts w:ascii="Times New Roman" w:hAnsi="Times New Roman"/>
          <w:b w:val="0"/>
          <w:sz w:val="28"/>
          <w:szCs w:val="28"/>
        </w:rPr>
      </w:pPr>
      <w:r>
        <w:rPr>
          <w:rFonts w:hint="eastAsia" w:ascii="Times New Roman" w:hAnsi="Times New Roman"/>
          <w:b w:val="0"/>
          <w:sz w:val="28"/>
          <w:szCs w:val="28"/>
        </w:rPr>
        <w:t>四、</w:t>
      </w:r>
      <w:r>
        <w:rPr>
          <w:rFonts w:ascii="Times New Roman" w:hAnsi="Times New Roman"/>
          <w:b w:val="0"/>
          <w:sz w:val="28"/>
          <w:szCs w:val="28"/>
        </w:rPr>
        <w:t>标准内容</w:t>
      </w:r>
      <w:r>
        <w:rPr>
          <w:rFonts w:hint="eastAsia" w:ascii="Times New Roman" w:hAnsi="Times New Roman"/>
          <w:b w:val="0"/>
          <w:sz w:val="28"/>
          <w:szCs w:val="28"/>
        </w:rPr>
        <w:t>的制定</w:t>
      </w:r>
    </w:p>
    <w:p>
      <w:pPr>
        <w:pStyle w:val="16"/>
        <w:adjustRightInd w:val="0"/>
        <w:snapToGrid w:val="0"/>
        <w:spacing w:before="120" w:beforeLines="50" w:after="120" w:afterLines="50" w:line="360" w:lineRule="auto"/>
        <w:ind w:firstLine="600" w:firstLineChars="249"/>
        <w:rPr>
          <w:rFonts w:ascii="Times New Roman" w:hAnsi="Times New Roman" w:eastAsia="楷体"/>
          <w:sz w:val="24"/>
          <w:szCs w:val="24"/>
        </w:rPr>
      </w:pPr>
      <w:r>
        <w:rPr>
          <w:rFonts w:hint="eastAsia" w:ascii="Times New Roman" w:hAnsi="Times New Roman" w:eastAsia="楷体"/>
          <w:sz w:val="24"/>
          <w:szCs w:val="24"/>
        </w:rPr>
        <w:t>（一）范围</w:t>
      </w:r>
    </w:p>
    <w:p>
      <w:pPr>
        <w:pStyle w:val="11"/>
        <w:tabs>
          <w:tab w:val="center" w:pos="4201"/>
          <w:tab w:val="right" w:leader="dot" w:pos="9298"/>
        </w:tabs>
        <w:adjustRightInd w:val="0"/>
        <w:snapToGrid w:val="0"/>
        <w:spacing w:line="360" w:lineRule="auto"/>
        <w:ind w:firstLine="420"/>
        <w:rPr>
          <w:rFonts w:ascii="Times New Roman" w:hAnsi="Times New Roman"/>
          <w:sz w:val="21"/>
          <w:szCs w:val="21"/>
        </w:rPr>
      </w:pPr>
      <w:r>
        <w:rPr>
          <w:rFonts w:hint="eastAsia" w:ascii="Times New Roman" w:hAnsi="Times New Roman"/>
          <w:sz w:val="21"/>
          <w:szCs w:val="21"/>
        </w:rPr>
        <w:t>适用于贵州省境内种植的铁皮石斛植物上采收的叶片。</w:t>
      </w:r>
    </w:p>
    <w:p>
      <w:pPr>
        <w:pStyle w:val="11"/>
        <w:tabs>
          <w:tab w:val="center" w:pos="4201"/>
          <w:tab w:val="right" w:leader="dot" w:pos="9298"/>
        </w:tabs>
        <w:adjustRightInd w:val="0"/>
        <w:snapToGrid w:val="0"/>
        <w:spacing w:line="360" w:lineRule="auto"/>
        <w:ind w:firstLine="420"/>
        <w:rPr>
          <w:rFonts w:ascii="Times New Roman" w:hAnsi="Times New Roman"/>
          <w:sz w:val="21"/>
          <w:szCs w:val="21"/>
        </w:rPr>
      </w:pPr>
    </w:p>
    <w:p>
      <w:pPr>
        <w:pStyle w:val="16"/>
        <w:adjustRightInd w:val="0"/>
        <w:snapToGrid w:val="0"/>
        <w:spacing w:before="120" w:beforeLines="50" w:after="120" w:afterLines="50" w:line="360" w:lineRule="auto"/>
        <w:ind w:firstLine="482" w:firstLineChars="200"/>
        <w:rPr>
          <w:rFonts w:ascii="Times New Roman" w:hAnsi="Times New Roman" w:eastAsia="楷体"/>
          <w:sz w:val="24"/>
          <w:szCs w:val="24"/>
        </w:rPr>
      </w:pPr>
      <w:r>
        <w:rPr>
          <w:rFonts w:hint="eastAsia" w:ascii="Times New Roman" w:hAnsi="Times New Roman" w:eastAsia="楷体"/>
          <w:sz w:val="24"/>
          <w:szCs w:val="24"/>
        </w:rPr>
        <w:t>（二）术语和定义</w:t>
      </w:r>
    </w:p>
    <w:p>
      <w:pPr>
        <w:pStyle w:val="11"/>
        <w:tabs>
          <w:tab w:val="center" w:pos="4201"/>
          <w:tab w:val="right" w:leader="dot" w:pos="9298"/>
        </w:tabs>
        <w:adjustRightInd w:val="0"/>
        <w:snapToGrid w:val="0"/>
        <w:spacing w:line="360" w:lineRule="auto"/>
        <w:ind w:left="420" w:leftChars="200" w:firstLine="0" w:firstLineChars="0"/>
        <w:rPr>
          <w:rFonts w:ascii="Times New Roman" w:hAnsi="Times New Roman"/>
          <w:sz w:val="21"/>
          <w:szCs w:val="21"/>
        </w:rPr>
      </w:pPr>
      <w:r>
        <w:rPr>
          <w:rFonts w:hint="eastAsia" w:ascii="Times New Roman" w:hAnsi="Times New Roman"/>
          <w:sz w:val="21"/>
          <w:szCs w:val="21"/>
        </w:rPr>
        <w:t>明确了</w:t>
      </w:r>
      <w:r>
        <w:rPr>
          <w:rFonts w:hint="eastAsia" w:asciiTheme="minorEastAsia" w:hAnsiTheme="minorEastAsia" w:eastAsiaTheme="minorEastAsia"/>
          <w:sz w:val="21"/>
          <w:szCs w:val="21"/>
        </w:rPr>
        <w:t>“</w:t>
      </w:r>
      <w:r>
        <w:rPr>
          <w:rFonts w:hint="eastAsia" w:ascii="Times New Roman" w:hAnsi="Times New Roman"/>
          <w:sz w:val="21"/>
          <w:szCs w:val="21"/>
        </w:rPr>
        <w:t>铁皮石斛叶</w:t>
      </w:r>
      <w:r>
        <w:rPr>
          <w:rFonts w:hint="eastAsia" w:asciiTheme="minorEastAsia" w:hAnsiTheme="minorEastAsia" w:eastAsiaTheme="minorEastAsia"/>
          <w:sz w:val="21"/>
          <w:szCs w:val="21"/>
        </w:rPr>
        <w:t>”</w:t>
      </w:r>
      <w:r>
        <w:rPr>
          <w:rFonts w:hint="eastAsia" w:ascii="Times New Roman" w:hAnsi="Times New Roman"/>
          <w:sz w:val="21"/>
          <w:szCs w:val="21"/>
        </w:rPr>
        <w:t>的定义，用兰科植物铁皮石斛</w:t>
      </w:r>
      <w:r>
        <w:rPr>
          <w:rFonts w:ascii="Times New Roman" w:hAnsi="Times New Roman"/>
          <w:i/>
          <w:sz w:val="21"/>
          <w:szCs w:val="21"/>
        </w:rPr>
        <w:t>Dendrobium officinale</w:t>
      </w:r>
      <w:r>
        <w:rPr>
          <w:rFonts w:ascii="Times New Roman" w:hAnsi="Times New Roman"/>
          <w:sz w:val="21"/>
          <w:szCs w:val="21"/>
        </w:rPr>
        <w:t xml:space="preserve"> Kimura et Migo</w:t>
      </w:r>
    </w:p>
    <w:p>
      <w:pPr>
        <w:pStyle w:val="11"/>
        <w:tabs>
          <w:tab w:val="center" w:pos="4201"/>
          <w:tab w:val="right" w:leader="dot" w:pos="9298"/>
        </w:tabs>
        <w:adjustRightInd w:val="0"/>
        <w:snapToGrid w:val="0"/>
        <w:spacing w:line="360" w:lineRule="auto"/>
        <w:ind w:firstLine="0" w:firstLineChars="0"/>
        <w:rPr>
          <w:rFonts w:ascii="Times New Roman" w:hAnsi="Times New Roman"/>
          <w:sz w:val="21"/>
          <w:szCs w:val="21"/>
        </w:rPr>
      </w:pPr>
      <w:r>
        <w:rPr>
          <w:rFonts w:hint="eastAsia" w:ascii="Times New Roman" w:hAnsi="Times New Roman"/>
          <w:sz w:val="21"/>
          <w:szCs w:val="21"/>
        </w:rPr>
        <w:t>的鲜叶，通过去杂、净选、干燥等工艺加工制成的食品原料用铁皮石斛叶。</w:t>
      </w:r>
    </w:p>
    <w:p>
      <w:pPr>
        <w:pStyle w:val="11"/>
        <w:tabs>
          <w:tab w:val="center" w:pos="4201"/>
          <w:tab w:val="right" w:leader="dot" w:pos="9298"/>
        </w:tabs>
        <w:adjustRightInd w:val="0"/>
        <w:snapToGrid w:val="0"/>
        <w:spacing w:line="360" w:lineRule="auto"/>
        <w:ind w:firstLine="420"/>
        <w:rPr>
          <w:rFonts w:ascii="Times New Roman" w:hAnsi="Times New Roman"/>
          <w:sz w:val="21"/>
          <w:szCs w:val="24"/>
        </w:rPr>
      </w:pPr>
      <w:r>
        <w:rPr>
          <w:rFonts w:hint="eastAsia" w:ascii="Times New Roman" w:hAnsi="Times New Roman"/>
          <w:sz w:val="21"/>
          <w:szCs w:val="24"/>
        </w:rPr>
        <w:t>标准中的其他术语和定义也充分考虑了整个产业链的各个环节的专业人员对这些术语和定义的理解，采用的术语和定义已在行业中形成了共识，无论是生产方，销售方和使用方的技术人员，对其都无异议。</w:t>
      </w:r>
    </w:p>
    <w:p>
      <w:pPr>
        <w:pStyle w:val="16"/>
        <w:adjustRightInd w:val="0"/>
        <w:snapToGrid w:val="0"/>
        <w:spacing w:before="120" w:beforeLines="50" w:after="120" w:afterLines="50" w:line="360" w:lineRule="auto"/>
        <w:ind w:left="-283" w:leftChars="-135" w:firstLine="590" w:firstLineChars="245"/>
        <w:rPr>
          <w:rFonts w:ascii="Times New Roman" w:hAnsi="Times New Roman" w:eastAsia="楷体"/>
          <w:sz w:val="24"/>
          <w:szCs w:val="24"/>
        </w:rPr>
      </w:pPr>
      <w:r>
        <w:rPr>
          <w:rFonts w:hint="eastAsia" w:ascii="Times New Roman" w:hAnsi="Times New Roman" w:eastAsia="楷体"/>
          <w:sz w:val="24"/>
          <w:szCs w:val="24"/>
        </w:rPr>
        <w:t>（三）采样依据</w:t>
      </w:r>
    </w:p>
    <w:p>
      <w:pPr>
        <w:pStyle w:val="11"/>
        <w:tabs>
          <w:tab w:val="center" w:pos="4201"/>
          <w:tab w:val="right" w:leader="dot" w:pos="9298"/>
        </w:tabs>
        <w:adjustRightInd w:val="0"/>
        <w:snapToGrid w:val="0"/>
        <w:spacing w:line="360" w:lineRule="auto"/>
        <w:ind w:firstLine="424" w:firstLineChars="202"/>
        <w:rPr>
          <w:rFonts w:ascii="Times New Roman" w:hAnsi="Times New Roman"/>
          <w:sz w:val="21"/>
          <w:szCs w:val="21"/>
        </w:rPr>
      </w:pPr>
      <w:r>
        <w:rPr>
          <w:rFonts w:hint="eastAsia" w:ascii="Times New Roman" w:hAnsi="Times New Roman"/>
          <w:sz w:val="21"/>
          <w:szCs w:val="21"/>
        </w:rPr>
        <w:t>在本标准制定过程中，于2</w:t>
      </w:r>
      <w:r>
        <w:rPr>
          <w:rFonts w:ascii="Times New Roman" w:hAnsi="Times New Roman"/>
          <w:sz w:val="21"/>
          <w:szCs w:val="21"/>
        </w:rPr>
        <w:t>018</w:t>
      </w:r>
      <w:r>
        <w:rPr>
          <w:rFonts w:hint="eastAsia" w:ascii="Times New Roman" w:hAnsi="Times New Roman"/>
          <w:sz w:val="21"/>
          <w:szCs w:val="21"/>
        </w:rPr>
        <w:t>年1</w:t>
      </w:r>
      <w:r>
        <w:rPr>
          <w:rFonts w:ascii="Times New Roman" w:hAnsi="Times New Roman"/>
          <w:sz w:val="21"/>
          <w:szCs w:val="21"/>
        </w:rPr>
        <w:t>2</w:t>
      </w:r>
      <w:r>
        <w:rPr>
          <w:rFonts w:hint="eastAsia" w:ascii="Times New Roman" w:hAnsi="Times New Roman"/>
          <w:sz w:val="21"/>
          <w:szCs w:val="21"/>
        </w:rPr>
        <w:t>月由贵州威门药业股份有限公司提供的5批样品用于安全毒理学评价试验，即急性经口毒性试验、遗传毒性试验（细菌回复突变试验、哺乳动物红细胞微核试验和体外哺乳课细胞染色体畸变试验）、大鼠90天经口毒性试验以及大鼠致畸试验。5批样品覆盖了我省石斛传统集散地兴义市，以及大规模种植区域安龙、独山、沿河等县，所选样品具有代表性。详细的采样信息见表1。</w:t>
      </w:r>
    </w:p>
    <w:p>
      <w:pPr>
        <w:pStyle w:val="11"/>
        <w:tabs>
          <w:tab w:val="center" w:pos="4201"/>
          <w:tab w:val="right" w:leader="dot" w:pos="9298"/>
        </w:tabs>
        <w:adjustRightInd w:val="0"/>
        <w:snapToGrid w:val="0"/>
        <w:spacing w:line="360" w:lineRule="auto"/>
        <w:ind w:firstLine="426" w:firstLineChars="202"/>
        <w:jc w:val="center"/>
        <w:rPr>
          <w:rFonts w:ascii="Times New Roman" w:hAnsi="Times New Roman"/>
          <w:b/>
          <w:sz w:val="21"/>
          <w:szCs w:val="21"/>
        </w:rPr>
      </w:pPr>
      <w:r>
        <w:rPr>
          <w:rFonts w:hint="eastAsia" w:ascii="Times New Roman" w:hAnsi="Times New Roman"/>
          <w:b/>
          <w:sz w:val="21"/>
          <w:szCs w:val="21"/>
        </w:rPr>
        <w:t>表</w:t>
      </w:r>
      <w:r>
        <w:rPr>
          <w:rFonts w:ascii="Times New Roman" w:hAnsi="Times New Roman"/>
          <w:b/>
          <w:sz w:val="21"/>
          <w:szCs w:val="21"/>
        </w:rPr>
        <w:t xml:space="preserve">1 </w:t>
      </w:r>
      <w:r>
        <w:rPr>
          <w:rFonts w:hint="eastAsia" w:ascii="Times New Roman" w:hAnsi="Times New Roman"/>
          <w:b/>
          <w:sz w:val="21"/>
          <w:szCs w:val="21"/>
        </w:rPr>
        <w:t>铁皮石斛叶安全毒理学评价试验采样信息</w:t>
      </w:r>
    </w:p>
    <w:tbl>
      <w:tblPr>
        <w:tblStyle w:val="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8"/>
        <w:gridCol w:w="992"/>
        <w:gridCol w:w="850"/>
        <w:gridCol w:w="1701"/>
        <w:gridCol w:w="1779"/>
        <w:gridCol w:w="1056"/>
        <w:gridCol w:w="9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8" w:type="dxa"/>
            <w:vAlign w:val="center"/>
          </w:tcPr>
          <w:p>
            <w:pPr>
              <w:pStyle w:val="11"/>
              <w:widowControl w:val="0"/>
              <w:tabs>
                <w:tab w:val="center" w:pos="4201"/>
                <w:tab w:val="right" w:leader="dot" w:pos="9298"/>
              </w:tabs>
              <w:adjustRightInd w:val="0"/>
              <w:snapToGrid w:val="0"/>
              <w:ind w:firstLine="0" w:firstLineChars="0"/>
              <w:rPr>
                <w:rFonts w:ascii="Times New Roman" w:hAnsi="Times New Roman" w:eastAsiaTheme="minorEastAsia"/>
                <w:sz w:val="18"/>
                <w:szCs w:val="18"/>
              </w:rPr>
            </w:pPr>
            <w:r>
              <w:rPr>
                <w:rFonts w:ascii="Times New Roman" w:hAnsi="Times New Roman" w:eastAsiaTheme="minorEastAsia"/>
                <w:sz w:val="18"/>
                <w:szCs w:val="18"/>
              </w:rPr>
              <w:t>批号</w:t>
            </w:r>
          </w:p>
        </w:tc>
        <w:tc>
          <w:tcPr>
            <w:tcW w:w="992" w:type="dxa"/>
            <w:vAlign w:val="center"/>
          </w:tcPr>
          <w:p>
            <w:pPr>
              <w:pStyle w:val="11"/>
              <w:widowControl w:val="0"/>
              <w:tabs>
                <w:tab w:val="center" w:pos="4201"/>
                <w:tab w:val="right" w:leader="dot" w:pos="9298"/>
              </w:tabs>
              <w:adjustRightInd w:val="0"/>
              <w:snapToGrid w:val="0"/>
              <w:ind w:firstLine="0" w:firstLineChars="0"/>
              <w:rPr>
                <w:rFonts w:ascii="Times New Roman" w:hAnsi="Times New Roman" w:eastAsiaTheme="minorEastAsia"/>
                <w:sz w:val="18"/>
                <w:szCs w:val="18"/>
              </w:rPr>
            </w:pPr>
            <w:r>
              <w:rPr>
                <w:rFonts w:ascii="Times New Roman" w:hAnsi="Times New Roman" w:eastAsiaTheme="minorEastAsia"/>
                <w:sz w:val="18"/>
                <w:szCs w:val="18"/>
              </w:rPr>
              <w:t>样品名称</w:t>
            </w:r>
          </w:p>
        </w:tc>
        <w:tc>
          <w:tcPr>
            <w:tcW w:w="850" w:type="dxa"/>
            <w:vAlign w:val="center"/>
          </w:tcPr>
          <w:p>
            <w:pPr>
              <w:pStyle w:val="11"/>
              <w:widowControl w:val="0"/>
              <w:tabs>
                <w:tab w:val="center" w:pos="4201"/>
                <w:tab w:val="right" w:leader="dot" w:pos="9298"/>
              </w:tabs>
              <w:adjustRightInd w:val="0"/>
              <w:snapToGrid w:val="0"/>
              <w:ind w:firstLine="0" w:firstLineChars="0"/>
              <w:rPr>
                <w:rFonts w:ascii="Times New Roman" w:hAnsi="Times New Roman" w:eastAsiaTheme="minorEastAsia"/>
                <w:sz w:val="18"/>
                <w:szCs w:val="18"/>
              </w:rPr>
            </w:pPr>
            <w:r>
              <w:rPr>
                <w:rFonts w:ascii="Times New Roman" w:hAnsi="Times New Roman" w:eastAsiaTheme="minorEastAsia"/>
                <w:sz w:val="18"/>
                <w:szCs w:val="18"/>
              </w:rPr>
              <w:t>地区</w:t>
            </w:r>
          </w:p>
        </w:tc>
        <w:tc>
          <w:tcPr>
            <w:tcW w:w="1701" w:type="dxa"/>
            <w:vAlign w:val="center"/>
          </w:tcPr>
          <w:p>
            <w:pPr>
              <w:pStyle w:val="11"/>
              <w:widowControl w:val="0"/>
              <w:tabs>
                <w:tab w:val="center" w:pos="4201"/>
                <w:tab w:val="right" w:leader="dot" w:pos="9298"/>
              </w:tabs>
              <w:adjustRightInd w:val="0"/>
              <w:snapToGrid w:val="0"/>
              <w:ind w:firstLine="0" w:firstLineChars="0"/>
              <w:rPr>
                <w:rFonts w:ascii="Times New Roman" w:hAnsi="Times New Roman" w:eastAsiaTheme="minorEastAsia"/>
                <w:sz w:val="18"/>
                <w:szCs w:val="18"/>
              </w:rPr>
            </w:pPr>
            <w:r>
              <w:rPr>
                <w:rFonts w:ascii="Times New Roman" w:hAnsi="Times New Roman" w:eastAsiaTheme="minorEastAsia"/>
                <w:sz w:val="18"/>
                <w:szCs w:val="18"/>
              </w:rPr>
              <w:t>公司名称</w:t>
            </w:r>
          </w:p>
        </w:tc>
        <w:tc>
          <w:tcPr>
            <w:tcW w:w="1779" w:type="dxa"/>
            <w:vAlign w:val="center"/>
          </w:tcPr>
          <w:p>
            <w:pPr>
              <w:pStyle w:val="11"/>
              <w:widowControl w:val="0"/>
              <w:tabs>
                <w:tab w:val="center" w:pos="4201"/>
                <w:tab w:val="right" w:leader="dot" w:pos="9298"/>
              </w:tabs>
              <w:adjustRightInd w:val="0"/>
              <w:snapToGrid w:val="0"/>
              <w:ind w:firstLine="0" w:firstLineChars="0"/>
              <w:rPr>
                <w:rFonts w:ascii="Times New Roman" w:hAnsi="Times New Roman" w:eastAsiaTheme="minorEastAsia"/>
                <w:sz w:val="18"/>
                <w:szCs w:val="18"/>
              </w:rPr>
            </w:pPr>
            <w:r>
              <w:rPr>
                <w:rFonts w:ascii="Times New Roman" w:hAnsi="Times New Roman" w:eastAsiaTheme="minorEastAsia"/>
                <w:sz w:val="18"/>
                <w:szCs w:val="18"/>
              </w:rPr>
              <w:t>采用地点</w:t>
            </w:r>
          </w:p>
        </w:tc>
        <w:tc>
          <w:tcPr>
            <w:tcW w:w="1056" w:type="dxa"/>
            <w:vAlign w:val="center"/>
          </w:tcPr>
          <w:p>
            <w:pPr>
              <w:pStyle w:val="11"/>
              <w:widowControl w:val="0"/>
              <w:tabs>
                <w:tab w:val="center" w:pos="4201"/>
                <w:tab w:val="right" w:leader="dot" w:pos="9298"/>
              </w:tabs>
              <w:adjustRightInd w:val="0"/>
              <w:snapToGrid w:val="0"/>
              <w:ind w:firstLine="0" w:firstLineChars="0"/>
              <w:rPr>
                <w:rFonts w:ascii="Times New Roman" w:hAnsi="Times New Roman" w:eastAsiaTheme="minorEastAsia"/>
                <w:sz w:val="18"/>
                <w:szCs w:val="18"/>
              </w:rPr>
            </w:pPr>
            <w:r>
              <w:rPr>
                <w:rFonts w:ascii="Times New Roman" w:hAnsi="Times New Roman" w:eastAsiaTheme="minorEastAsia"/>
                <w:sz w:val="18"/>
                <w:szCs w:val="18"/>
              </w:rPr>
              <w:t>加工方式</w:t>
            </w:r>
          </w:p>
        </w:tc>
        <w:tc>
          <w:tcPr>
            <w:tcW w:w="993" w:type="dxa"/>
            <w:vAlign w:val="center"/>
          </w:tcPr>
          <w:p>
            <w:pPr>
              <w:pStyle w:val="11"/>
              <w:widowControl w:val="0"/>
              <w:tabs>
                <w:tab w:val="center" w:pos="4201"/>
                <w:tab w:val="right" w:leader="dot" w:pos="9298"/>
              </w:tabs>
              <w:adjustRightInd w:val="0"/>
              <w:snapToGrid w:val="0"/>
              <w:ind w:firstLine="0" w:firstLineChars="0"/>
              <w:rPr>
                <w:rFonts w:ascii="Times New Roman" w:hAnsi="Times New Roman" w:eastAsiaTheme="minorEastAsia"/>
                <w:sz w:val="18"/>
                <w:szCs w:val="18"/>
              </w:rPr>
            </w:pPr>
            <w:r>
              <w:rPr>
                <w:rFonts w:ascii="Times New Roman" w:hAnsi="Times New Roman" w:eastAsiaTheme="minorEastAsia"/>
                <w:sz w:val="18"/>
                <w:szCs w:val="18"/>
              </w:rPr>
              <w:t>种植方式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8" w:type="dxa"/>
            <w:vAlign w:val="center"/>
          </w:tcPr>
          <w:p>
            <w:pPr>
              <w:pStyle w:val="11"/>
              <w:widowControl w:val="0"/>
              <w:tabs>
                <w:tab w:val="center" w:pos="4201"/>
                <w:tab w:val="right" w:leader="dot" w:pos="9298"/>
              </w:tabs>
              <w:adjustRightInd w:val="0"/>
              <w:snapToGrid w:val="0"/>
              <w:ind w:firstLine="0" w:firstLineChars="0"/>
              <w:rPr>
                <w:rFonts w:ascii="Times New Roman" w:hAnsi="Times New Roman" w:eastAsiaTheme="minorEastAsia"/>
                <w:sz w:val="18"/>
                <w:szCs w:val="18"/>
              </w:rPr>
            </w:pPr>
            <w:r>
              <w:rPr>
                <w:rFonts w:ascii="Times New Roman" w:hAnsi="Times New Roman" w:eastAsiaTheme="minorEastAsia"/>
                <w:sz w:val="18"/>
                <w:szCs w:val="18"/>
              </w:rPr>
              <w:t>20181201</w:t>
            </w:r>
          </w:p>
        </w:tc>
        <w:tc>
          <w:tcPr>
            <w:tcW w:w="992" w:type="dxa"/>
            <w:vMerge w:val="restart"/>
            <w:vAlign w:val="center"/>
          </w:tcPr>
          <w:p>
            <w:pPr>
              <w:pStyle w:val="11"/>
              <w:widowControl w:val="0"/>
              <w:tabs>
                <w:tab w:val="center" w:pos="4201"/>
                <w:tab w:val="right" w:leader="dot" w:pos="9298"/>
              </w:tabs>
              <w:adjustRightInd w:val="0"/>
              <w:snapToGrid w:val="0"/>
              <w:ind w:firstLine="0" w:firstLineChars="0"/>
              <w:rPr>
                <w:rFonts w:ascii="Times New Roman" w:hAnsi="Times New Roman" w:eastAsiaTheme="minorEastAsia"/>
                <w:sz w:val="18"/>
                <w:szCs w:val="18"/>
              </w:rPr>
            </w:pPr>
            <w:r>
              <w:rPr>
                <w:rFonts w:hint="eastAsia" w:ascii="Times New Roman" w:hAnsi="Times New Roman" w:eastAsiaTheme="minorEastAsia"/>
                <w:sz w:val="18"/>
                <w:szCs w:val="18"/>
              </w:rPr>
              <w:t>铁皮石斛</w:t>
            </w:r>
          </w:p>
          <w:p>
            <w:pPr>
              <w:pStyle w:val="11"/>
              <w:widowControl w:val="0"/>
              <w:tabs>
                <w:tab w:val="center" w:pos="4201"/>
                <w:tab w:val="right" w:leader="dot" w:pos="9298"/>
              </w:tabs>
              <w:adjustRightInd w:val="0"/>
              <w:snapToGrid w:val="0"/>
              <w:ind w:firstLine="0" w:firstLineChars="0"/>
              <w:rPr>
                <w:rFonts w:ascii="Times New Roman" w:hAnsi="Times New Roman" w:eastAsiaTheme="minorEastAsia"/>
                <w:sz w:val="18"/>
                <w:szCs w:val="18"/>
              </w:rPr>
            </w:pPr>
            <w:r>
              <w:rPr>
                <w:rFonts w:hint="eastAsia" w:ascii="Times New Roman" w:hAnsi="Times New Roman" w:eastAsiaTheme="minorEastAsia"/>
                <w:sz w:val="18"/>
                <w:szCs w:val="18"/>
              </w:rPr>
              <w:t>（干叶）</w:t>
            </w:r>
          </w:p>
        </w:tc>
        <w:tc>
          <w:tcPr>
            <w:tcW w:w="850" w:type="dxa"/>
            <w:vAlign w:val="center"/>
          </w:tcPr>
          <w:p>
            <w:pPr>
              <w:pStyle w:val="11"/>
              <w:widowControl w:val="0"/>
              <w:tabs>
                <w:tab w:val="center" w:pos="4201"/>
                <w:tab w:val="right" w:leader="dot" w:pos="9298"/>
              </w:tabs>
              <w:adjustRightInd w:val="0"/>
              <w:snapToGrid w:val="0"/>
              <w:ind w:firstLine="0" w:firstLineChars="0"/>
              <w:rPr>
                <w:rFonts w:ascii="Times New Roman" w:hAnsi="Times New Roman" w:eastAsiaTheme="minorEastAsia"/>
                <w:sz w:val="18"/>
                <w:szCs w:val="18"/>
              </w:rPr>
            </w:pPr>
            <w:r>
              <w:rPr>
                <w:rFonts w:ascii="Times New Roman" w:hAnsi="Times New Roman" w:eastAsiaTheme="minorEastAsia"/>
                <w:sz w:val="18"/>
                <w:szCs w:val="18"/>
              </w:rPr>
              <w:t>兴义市</w:t>
            </w:r>
          </w:p>
        </w:tc>
        <w:tc>
          <w:tcPr>
            <w:tcW w:w="1701" w:type="dxa"/>
            <w:vAlign w:val="center"/>
          </w:tcPr>
          <w:p>
            <w:pPr>
              <w:pStyle w:val="11"/>
              <w:widowControl w:val="0"/>
              <w:tabs>
                <w:tab w:val="center" w:pos="4201"/>
                <w:tab w:val="right" w:leader="dot" w:pos="9298"/>
              </w:tabs>
              <w:adjustRightInd w:val="0"/>
              <w:snapToGrid w:val="0"/>
              <w:ind w:firstLine="0" w:firstLineChars="0"/>
              <w:rPr>
                <w:rFonts w:ascii="Times New Roman" w:hAnsi="Times New Roman" w:eastAsiaTheme="minorEastAsia"/>
                <w:sz w:val="18"/>
                <w:szCs w:val="18"/>
              </w:rPr>
            </w:pPr>
            <w:r>
              <w:rPr>
                <w:rFonts w:ascii="Times New Roman" w:hAnsi="Times New Roman" w:eastAsiaTheme="minorEastAsia"/>
                <w:sz w:val="18"/>
                <w:szCs w:val="18"/>
              </w:rPr>
              <w:t>兴义首草中药材有限公司</w:t>
            </w:r>
          </w:p>
        </w:tc>
        <w:tc>
          <w:tcPr>
            <w:tcW w:w="1779" w:type="dxa"/>
            <w:vAlign w:val="center"/>
          </w:tcPr>
          <w:p>
            <w:pPr>
              <w:pStyle w:val="11"/>
              <w:widowControl w:val="0"/>
              <w:tabs>
                <w:tab w:val="center" w:pos="4201"/>
                <w:tab w:val="right" w:leader="dot" w:pos="9298"/>
              </w:tabs>
              <w:adjustRightInd w:val="0"/>
              <w:snapToGrid w:val="0"/>
              <w:ind w:firstLine="0" w:firstLineChars="0"/>
              <w:rPr>
                <w:rFonts w:ascii="Times New Roman" w:hAnsi="Times New Roman" w:eastAsiaTheme="minorEastAsia"/>
                <w:sz w:val="18"/>
                <w:szCs w:val="18"/>
              </w:rPr>
            </w:pPr>
            <w:r>
              <w:rPr>
                <w:rFonts w:hint="eastAsia" w:ascii="Times New Roman" w:hAnsi="Times New Roman" w:eastAsiaTheme="minorEastAsia"/>
                <w:sz w:val="18"/>
                <w:szCs w:val="18"/>
              </w:rPr>
              <w:t>兴义市则戎乡冷洞村的首草谷石斛基地</w:t>
            </w:r>
          </w:p>
        </w:tc>
        <w:tc>
          <w:tcPr>
            <w:tcW w:w="1056" w:type="dxa"/>
            <w:vMerge w:val="restart"/>
            <w:vAlign w:val="center"/>
          </w:tcPr>
          <w:p>
            <w:pPr>
              <w:pStyle w:val="11"/>
              <w:widowControl w:val="0"/>
              <w:tabs>
                <w:tab w:val="center" w:pos="4201"/>
                <w:tab w:val="right" w:leader="dot" w:pos="9298"/>
              </w:tabs>
              <w:adjustRightInd w:val="0"/>
              <w:snapToGrid w:val="0"/>
              <w:ind w:firstLine="0" w:firstLineChars="0"/>
              <w:jc w:val="center"/>
              <w:rPr>
                <w:rFonts w:ascii="Times New Roman" w:hAnsi="Times New Roman" w:eastAsiaTheme="minorEastAsia"/>
                <w:sz w:val="18"/>
                <w:szCs w:val="18"/>
              </w:rPr>
            </w:pPr>
            <w:r>
              <w:rPr>
                <w:rFonts w:ascii="Times New Roman" w:hAnsi="Times New Roman" w:eastAsiaTheme="minorEastAsia"/>
                <w:sz w:val="18"/>
                <w:szCs w:val="18"/>
              </w:rPr>
              <w:t>烘烤</w:t>
            </w:r>
          </w:p>
        </w:tc>
        <w:tc>
          <w:tcPr>
            <w:tcW w:w="993" w:type="dxa"/>
            <w:vAlign w:val="center"/>
          </w:tcPr>
          <w:p>
            <w:pPr>
              <w:pStyle w:val="11"/>
              <w:widowControl w:val="0"/>
              <w:tabs>
                <w:tab w:val="center" w:pos="4201"/>
                <w:tab w:val="right" w:leader="dot" w:pos="9298"/>
              </w:tabs>
              <w:adjustRightInd w:val="0"/>
              <w:snapToGrid w:val="0"/>
              <w:ind w:firstLine="0" w:firstLineChars="0"/>
              <w:jc w:val="center"/>
              <w:rPr>
                <w:rFonts w:ascii="Times New Roman" w:hAnsi="Times New Roman" w:eastAsiaTheme="minorEastAsia"/>
                <w:sz w:val="18"/>
                <w:szCs w:val="18"/>
              </w:rPr>
            </w:pPr>
            <w:r>
              <w:rPr>
                <w:rFonts w:ascii="Times New Roman" w:hAnsi="Times New Roman" w:eastAsiaTheme="minorEastAsia"/>
                <w:sz w:val="18"/>
                <w:szCs w:val="18"/>
              </w:rPr>
              <w:t>附树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8" w:type="dxa"/>
            <w:vAlign w:val="center"/>
          </w:tcPr>
          <w:p>
            <w:pPr>
              <w:pStyle w:val="11"/>
              <w:widowControl w:val="0"/>
              <w:tabs>
                <w:tab w:val="center" w:pos="4201"/>
                <w:tab w:val="right" w:leader="dot" w:pos="9298"/>
              </w:tabs>
              <w:adjustRightInd w:val="0"/>
              <w:snapToGrid w:val="0"/>
              <w:ind w:firstLine="0" w:firstLineChars="0"/>
              <w:rPr>
                <w:rFonts w:ascii="Times New Roman" w:hAnsi="Times New Roman" w:eastAsiaTheme="minorEastAsia"/>
                <w:sz w:val="18"/>
                <w:szCs w:val="18"/>
              </w:rPr>
            </w:pPr>
            <w:r>
              <w:rPr>
                <w:rFonts w:ascii="Times New Roman" w:hAnsi="Times New Roman" w:eastAsiaTheme="minorEastAsia"/>
                <w:sz w:val="18"/>
                <w:szCs w:val="18"/>
              </w:rPr>
              <w:t>20181202</w:t>
            </w:r>
          </w:p>
        </w:tc>
        <w:tc>
          <w:tcPr>
            <w:tcW w:w="992" w:type="dxa"/>
            <w:vMerge w:val="continue"/>
            <w:vAlign w:val="center"/>
          </w:tcPr>
          <w:p>
            <w:pPr>
              <w:pStyle w:val="11"/>
              <w:widowControl w:val="0"/>
              <w:tabs>
                <w:tab w:val="center" w:pos="4201"/>
                <w:tab w:val="right" w:leader="dot" w:pos="9298"/>
              </w:tabs>
              <w:adjustRightInd w:val="0"/>
              <w:snapToGrid w:val="0"/>
              <w:ind w:firstLine="0" w:firstLineChars="0"/>
              <w:rPr>
                <w:rFonts w:ascii="Times New Roman" w:hAnsi="Times New Roman" w:eastAsiaTheme="minorEastAsia"/>
                <w:sz w:val="18"/>
                <w:szCs w:val="18"/>
              </w:rPr>
            </w:pPr>
          </w:p>
        </w:tc>
        <w:tc>
          <w:tcPr>
            <w:tcW w:w="850" w:type="dxa"/>
            <w:vAlign w:val="center"/>
          </w:tcPr>
          <w:p>
            <w:pPr>
              <w:pStyle w:val="11"/>
              <w:widowControl w:val="0"/>
              <w:tabs>
                <w:tab w:val="center" w:pos="4201"/>
                <w:tab w:val="right" w:leader="dot" w:pos="9298"/>
              </w:tabs>
              <w:adjustRightInd w:val="0"/>
              <w:snapToGrid w:val="0"/>
              <w:ind w:firstLine="0" w:firstLineChars="0"/>
              <w:rPr>
                <w:rFonts w:ascii="Times New Roman" w:hAnsi="Times New Roman" w:eastAsiaTheme="minorEastAsia"/>
                <w:sz w:val="18"/>
                <w:szCs w:val="18"/>
              </w:rPr>
            </w:pPr>
            <w:r>
              <w:rPr>
                <w:rFonts w:ascii="Times New Roman" w:hAnsi="Times New Roman" w:eastAsiaTheme="minorEastAsia"/>
                <w:sz w:val="18"/>
                <w:szCs w:val="18"/>
              </w:rPr>
              <w:t>安龙县</w:t>
            </w:r>
          </w:p>
        </w:tc>
        <w:tc>
          <w:tcPr>
            <w:tcW w:w="1701" w:type="dxa"/>
            <w:vAlign w:val="center"/>
          </w:tcPr>
          <w:p>
            <w:pPr>
              <w:pStyle w:val="11"/>
              <w:widowControl w:val="0"/>
              <w:tabs>
                <w:tab w:val="center" w:pos="4201"/>
                <w:tab w:val="right" w:leader="dot" w:pos="9298"/>
              </w:tabs>
              <w:adjustRightInd w:val="0"/>
              <w:snapToGrid w:val="0"/>
              <w:ind w:firstLine="0" w:firstLineChars="0"/>
              <w:rPr>
                <w:rFonts w:ascii="Times New Roman" w:hAnsi="Times New Roman" w:eastAsiaTheme="minorEastAsia"/>
                <w:sz w:val="18"/>
                <w:szCs w:val="18"/>
              </w:rPr>
            </w:pPr>
            <w:r>
              <w:rPr>
                <w:rFonts w:ascii="Times New Roman" w:hAnsi="Times New Roman" w:eastAsiaTheme="minorEastAsia"/>
                <w:sz w:val="18"/>
                <w:szCs w:val="18"/>
              </w:rPr>
              <w:t>安龙西城秀树农林有限公司</w:t>
            </w:r>
          </w:p>
        </w:tc>
        <w:tc>
          <w:tcPr>
            <w:tcW w:w="1779" w:type="dxa"/>
            <w:vAlign w:val="center"/>
          </w:tcPr>
          <w:p>
            <w:pPr>
              <w:pStyle w:val="11"/>
              <w:widowControl w:val="0"/>
              <w:tabs>
                <w:tab w:val="center" w:pos="4201"/>
                <w:tab w:val="right" w:leader="dot" w:pos="9298"/>
              </w:tabs>
              <w:adjustRightInd w:val="0"/>
              <w:snapToGrid w:val="0"/>
              <w:ind w:firstLine="0" w:firstLineChars="0"/>
              <w:rPr>
                <w:rFonts w:ascii="Times New Roman" w:hAnsi="Times New Roman" w:eastAsiaTheme="minorEastAsia"/>
                <w:sz w:val="18"/>
                <w:szCs w:val="18"/>
              </w:rPr>
            </w:pPr>
            <w:r>
              <w:rPr>
                <w:rFonts w:hint="eastAsia" w:ascii="Times New Roman" w:hAnsi="Times New Roman" w:eastAsiaTheme="minorEastAsia"/>
                <w:sz w:val="18"/>
                <w:szCs w:val="18"/>
              </w:rPr>
              <w:t>黔西南州安龙县坡脚乡者贵村科丰组</w:t>
            </w:r>
          </w:p>
        </w:tc>
        <w:tc>
          <w:tcPr>
            <w:tcW w:w="1056" w:type="dxa"/>
            <w:vMerge w:val="continue"/>
            <w:vAlign w:val="center"/>
          </w:tcPr>
          <w:p>
            <w:pPr>
              <w:pStyle w:val="11"/>
              <w:widowControl w:val="0"/>
              <w:tabs>
                <w:tab w:val="center" w:pos="4201"/>
                <w:tab w:val="right" w:leader="dot" w:pos="9298"/>
              </w:tabs>
              <w:adjustRightInd w:val="0"/>
              <w:snapToGrid w:val="0"/>
              <w:ind w:firstLine="0" w:firstLineChars="0"/>
              <w:rPr>
                <w:rFonts w:ascii="Times New Roman" w:hAnsi="Times New Roman" w:eastAsiaTheme="minorEastAsia"/>
                <w:sz w:val="18"/>
                <w:szCs w:val="18"/>
              </w:rPr>
            </w:pPr>
          </w:p>
        </w:tc>
        <w:tc>
          <w:tcPr>
            <w:tcW w:w="993" w:type="dxa"/>
            <w:vAlign w:val="center"/>
          </w:tcPr>
          <w:p>
            <w:pPr>
              <w:pStyle w:val="11"/>
              <w:widowControl w:val="0"/>
              <w:tabs>
                <w:tab w:val="center" w:pos="4201"/>
                <w:tab w:val="right" w:leader="dot" w:pos="9298"/>
              </w:tabs>
              <w:adjustRightInd w:val="0"/>
              <w:snapToGrid w:val="0"/>
              <w:ind w:firstLine="0" w:firstLineChars="0"/>
              <w:jc w:val="center"/>
              <w:rPr>
                <w:rFonts w:ascii="Times New Roman" w:hAnsi="Times New Roman" w:eastAsiaTheme="minorEastAsia"/>
                <w:sz w:val="18"/>
                <w:szCs w:val="18"/>
              </w:rPr>
            </w:pPr>
            <w:r>
              <w:rPr>
                <w:rFonts w:ascii="Times New Roman" w:hAnsi="Times New Roman" w:eastAsiaTheme="minorEastAsia"/>
                <w:sz w:val="18"/>
                <w:szCs w:val="18"/>
              </w:rPr>
              <w:t>附树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8" w:type="dxa"/>
            <w:vAlign w:val="center"/>
          </w:tcPr>
          <w:p>
            <w:pPr>
              <w:pStyle w:val="11"/>
              <w:widowControl w:val="0"/>
              <w:tabs>
                <w:tab w:val="center" w:pos="4201"/>
                <w:tab w:val="right" w:leader="dot" w:pos="9298"/>
              </w:tabs>
              <w:adjustRightInd w:val="0"/>
              <w:snapToGrid w:val="0"/>
              <w:ind w:firstLine="0" w:firstLineChars="0"/>
              <w:rPr>
                <w:rFonts w:ascii="Times New Roman" w:hAnsi="Times New Roman" w:eastAsiaTheme="minorEastAsia"/>
                <w:sz w:val="18"/>
                <w:szCs w:val="18"/>
              </w:rPr>
            </w:pPr>
            <w:r>
              <w:rPr>
                <w:rFonts w:ascii="Times New Roman" w:hAnsi="Times New Roman" w:eastAsiaTheme="minorEastAsia"/>
                <w:sz w:val="18"/>
                <w:szCs w:val="18"/>
              </w:rPr>
              <w:t>20181203</w:t>
            </w:r>
          </w:p>
        </w:tc>
        <w:tc>
          <w:tcPr>
            <w:tcW w:w="992" w:type="dxa"/>
            <w:vMerge w:val="continue"/>
            <w:vAlign w:val="center"/>
          </w:tcPr>
          <w:p>
            <w:pPr>
              <w:pStyle w:val="11"/>
              <w:widowControl w:val="0"/>
              <w:tabs>
                <w:tab w:val="center" w:pos="4201"/>
                <w:tab w:val="right" w:leader="dot" w:pos="9298"/>
              </w:tabs>
              <w:adjustRightInd w:val="0"/>
              <w:snapToGrid w:val="0"/>
              <w:ind w:firstLine="0" w:firstLineChars="0"/>
              <w:rPr>
                <w:rFonts w:ascii="Times New Roman" w:hAnsi="Times New Roman" w:eastAsiaTheme="minorEastAsia"/>
                <w:sz w:val="18"/>
                <w:szCs w:val="18"/>
              </w:rPr>
            </w:pPr>
          </w:p>
        </w:tc>
        <w:tc>
          <w:tcPr>
            <w:tcW w:w="850" w:type="dxa"/>
            <w:vMerge w:val="restart"/>
            <w:vAlign w:val="center"/>
          </w:tcPr>
          <w:p>
            <w:pPr>
              <w:pStyle w:val="11"/>
              <w:widowControl w:val="0"/>
              <w:tabs>
                <w:tab w:val="center" w:pos="4201"/>
                <w:tab w:val="right" w:leader="dot" w:pos="9298"/>
              </w:tabs>
              <w:adjustRightInd w:val="0"/>
              <w:snapToGrid w:val="0"/>
              <w:ind w:firstLine="0" w:firstLineChars="0"/>
              <w:rPr>
                <w:rFonts w:ascii="Times New Roman" w:hAnsi="Times New Roman" w:eastAsiaTheme="minorEastAsia"/>
                <w:sz w:val="18"/>
                <w:szCs w:val="18"/>
              </w:rPr>
            </w:pPr>
            <w:r>
              <w:rPr>
                <w:rFonts w:ascii="Times New Roman" w:hAnsi="Times New Roman" w:eastAsiaTheme="minorEastAsia"/>
                <w:sz w:val="18"/>
                <w:szCs w:val="18"/>
              </w:rPr>
              <w:t>独山县</w:t>
            </w:r>
          </w:p>
        </w:tc>
        <w:tc>
          <w:tcPr>
            <w:tcW w:w="1701" w:type="dxa"/>
            <w:vAlign w:val="center"/>
          </w:tcPr>
          <w:p>
            <w:pPr>
              <w:pStyle w:val="11"/>
              <w:widowControl w:val="0"/>
              <w:tabs>
                <w:tab w:val="center" w:pos="4201"/>
                <w:tab w:val="right" w:leader="dot" w:pos="9298"/>
              </w:tabs>
              <w:adjustRightInd w:val="0"/>
              <w:snapToGrid w:val="0"/>
              <w:ind w:firstLine="0" w:firstLineChars="0"/>
              <w:rPr>
                <w:rFonts w:ascii="Times New Roman" w:hAnsi="Times New Roman" w:eastAsiaTheme="minorEastAsia"/>
                <w:sz w:val="18"/>
                <w:szCs w:val="18"/>
              </w:rPr>
            </w:pPr>
            <w:r>
              <w:rPr>
                <w:rFonts w:ascii="Times New Roman" w:hAnsi="Times New Roman" w:eastAsiaTheme="minorEastAsia"/>
                <w:sz w:val="18"/>
                <w:szCs w:val="18"/>
              </w:rPr>
              <w:t>贵州济生农业科技有限公司</w:t>
            </w:r>
          </w:p>
        </w:tc>
        <w:tc>
          <w:tcPr>
            <w:tcW w:w="1779" w:type="dxa"/>
            <w:vAlign w:val="center"/>
          </w:tcPr>
          <w:p>
            <w:pPr>
              <w:pStyle w:val="11"/>
              <w:widowControl w:val="0"/>
              <w:tabs>
                <w:tab w:val="center" w:pos="4201"/>
                <w:tab w:val="right" w:leader="dot" w:pos="9298"/>
              </w:tabs>
              <w:adjustRightInd w:val="0"/>
              <w:snapToGrid w:val="0"/>
              <w:ind w:firstLine="0" w:firstLineChars="0"/>
              <w:rPr>
                <w:rFonts w:ascii="Times New Roman" w:hAnsi="Times New Roman" w:eastAsiaTheme="minorEastAsia"/>
                <w:sz w:val="18"/>
                <w:szCs w:val="18"/>
              </w:rPr>
            </w:pPr>
            <w:r>
              <w:rPr>
                <w:rFonts w:hint="eastAsia" w:ascii="Times New Roman" w:hAnsi="Times New Roman" w:eastAsiaTheme="minorEastAsia"/>
                <w:sz w:val="18"/>
                <w:szCs w:val="18"/>
              </w:rPr>
              <w:t>贵州省独山县基长镇秀峰村</w:t>
            </w:r>
          </w:p>
        </w:tc>
        <w:tc>
          <w:tcPr>
            <w:tcW w:w="1056" w:type="dxa"/>
            <w:vMerge w:val="continue"/>
            <w:vAlign w:val="center"/>
          </w:tcPr>
          <w:p>
            <w:pPr>
              <w:pStyle w:val="11"/>
              <w:widowControl w:val="0"/>
              <w:tabs>
                <w:tab w:val="center" w:pos="4201"/>
                <w:tab w:val="right" w:leader="dot" w:pos="9298"/>
              </w:tabs>
              <w:adjustRightInd w:val="0"/>
              <w:snapToGrid w:val="0"/>
              <w:ind w:firstLine="0" w:firstLineChars="0"/>
              <w:rPr>
                <w:rFonts w:ascii="Times New Roman" w:hAnsi="Times New Roman" w:eastAsiaTheme="minorEastAsia"/>
                <w:sz w:val="18"/>
                <w:szCs w:val="18"/>
              </w:rPr>
            </w:pPr>
          </w:p>
        </w:tc>
        <w:tc>
          <w:tcPr>
            <w:tcW w:w="993" w:type="dxa"/>
            <w:vAlign w:val="center"/>
          </w:tcPr>
          <w:p>
            <w:pPr>
              <w:pStyle w:val="11"/>
              <w:widowControl w:val="0"/>
              <w:tabs>
                <w:tab w:val="center" w:pos="4201"/>
                <w:tab w:val="right" w:leader="dot" w:pos="9298"/>
              </w:tabs>
              <w:adjustRightInd w:val="0"/>
              <w:snapToGrid w:val="0"/>
              <w:ind w:firstLine="0" w:firstLineChars="0"/>
              <w:jc w:val="center"/>
              <w:rPr>
                <w:rFonts w:ascii="Times New Roman" w:hAnsi="Times New Roman" w:eastAsiaTheme="minorEastAsia"/>
                <w:sz w:val="18"/>
                <w:szCs w:val="18"/>
              </w:rPr>
            </w:pPr>
            <w:r>
              <w:rPr>
                <w:rFonts w:hint="eastAsia" w:ascii="Times New Roman" w:hAnsi="Times New Roman" w:eastAsiaTheme="minorEastAsia"/>
                <w:sz w:val="18"/>
                <w:szCs w:val="18"/>
              </w:rPr>
              <w:t>大棚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8" w:type="dxa"/>
            <w:vAlign w:val="center"/>
          </w:tcPr>
          <w:p>
            <w:pPr>
              <w:pStyle w:val="11"/>
              <w:widowControl w:val="0"/>
              <w:tabs>
                <w:tab w:val="center" w:pos="4201"/>
                <w:tab w:val="right" w:leader="dot" w:pos="9298"/>
              </w:tabs>
              <w:adjustRightInd w:val="0"/>
              <w:snapToGrid w:val="0"/>
              <w:ind w:firstLine="0" w:firstLineChars="0"/>
              <w:rPr>
                <w:rFonts w:ascii="Times New Roman" w:hAnsi="Times New Roman" w:eastAsiaTheme="minorEastAsia"/>
                <w:sz w:val="18"/>
                <w:szCs w:val="18"/>
              </w:rPr>
            </w:pPr>
            <w:r>
              <w:rPr>
                <w:rFonts w:ascii="Times New Roman" w:hAnsi="Times New Roman" w:eastAsiaTheme="minorEastAsia"/>
                <w:sz w:val="18"/>
                <w:szCs w:val="18"/>
              </w:rPr>
              <w:t>20181204</w:t>
            </w:r>
          </w:p>
        </w:tc>
        <w:tc>
          <w:tcPr>
            <w:tcW w:w="992" w:type="dxa"/>
            <w:vMerge w:val="continue"/>
            <w:vAlign w:val="center"/>
          </w:tcPr>
          <w:p>
            <w:pPr>
              <w:pStyle w:val="11"/>
              <w:widowControl w:val="0"/>
              <w:tabs>
                <w:tab w:val="center" w:pos="4201"/>
                <w:tab w:val="right" w:leader="dot" w:pos="9298"/>
              </w:tabs>
              <w:adjustRightInd w:val="0"/>
              <w:snapToGrid w:val="0"/>
              <w:ind w:firstLine="0" w:firstLineChars="0"/>
              <w:rPr>
                <w:rFonts w:ascii="Times New Roman" w:hAnsi="Times New Roman" w:eastAsiaTheme="minorEastAsia"/>
                <w:sz w:val="18"/>
                <w:szCs w:val="18"/>
              </w:rPr>
            </w:pPr>
          </w:p>
        </w:tc>
        <w:tc>
          <w:tcPr>
            <w:tcW w:w="850" w:type="dxa"/>
            <w:vMerge w:val="continue"/>
            <w:vAlign w:val="center"/>
          </w:tcPr>
          <w:p>
            <w:pPr>
              <w:pStyle w:val="11"/>
              <w:widowControl w:val="0"/>
              <w:tabs>
                <w:tab w:val="center" w:pos="4201"/>
                <w:tab w:val="right" w:leader="dot" w:pos="9298"/>
              </w:tabs>
              <w:adjustRightInd w:val="0"/>
              <w:snapToGrid w:val="0"/>
              <w:ind w:firstLine="0" w:firstLineChars="0"/>
              <w:rPr>
                <w:rFonts w:ascii="Times New Roman" w:hAnsi="Times New Roman" w:eastAsiaTheme="minorEastAsia"/>
                <w:sz w:val="18"/>
                <w:szCs w:val="18"/>
              </w:rPr>
            </w:pPr>
          </w:p>
        </w:tc>
        <w:tc>
          <w:tcPr>
            <w:tcW w:w="1701" w:type="dxa"/>
            <w:vAlign w:val="center"/>
          </w:tcPr>
          <w:p>
            <w:pPr>
              <w:pStyle w:val="11"/>
              <w:widowControl w:val="0"/>
              <w:tabs>
                <w:tab w:val="center" w:pos="4201"/>
                <w:tab w:val="right" w:leader="dot" w:pos="9298"/>
              </w:tabs>
              <w:adjustRightInd w:val="0"/>
              <w:snapToGrid w:val="0"/>
              <w:ind w:firstLine="0" w:firstLineChars="0"/>
              <w:rPr>
                <w:rFonts w:ascii="Times New Roman" w:hAnsi="Times New Roman" w:eastAsiaTheme="minorEastAsia"/>
                <w:sz w:val="18"/>
                <w:szCs w:val="18"/>
              </w:rPr>
            </w:pPr>
            <w:r>
              <w:rPr>
                <w:rFonts w:ascii="Times New Roman" w:hAnsi="Times New Roman" w:eastAsiaTheme="minorEastAsia"/>
                <w:sz w:val="18"/>
                <w:szCs w:val="18"/>
              </w:rPr>
              <w:t>贵州绿健神农有机农业股份有限公司</w:t>
            </w:r>
          </w:p>
        </w:tc>
        <w:tc>
          <w:tcPr>
            <w:tcW w:w="1779" w:type="dxa"/>
            <w:vAlign w:val="center"/>
          </w:tcPr>
          <w:p>
            <w:pPr>
              <w:pStyle w:val="11"/>
              <w:widowControl w:val="0"/>
              <w:tabs>
                <w:tab w:val="center" w:pos="4201"/>
                <w:tab w:val="right" w:leader="dot" w:pos="9298"/>
              </w:tabs>
              <w:adjustRightInd w:val="0"/>
              <w:snapToGrid w:val="0"/>
              <w:ind w:firstLine="0" w:firstLineChars="0"/>
              <w:rPr>
                <w:rFonts w:ascii="Times New Roman" w:hAnsi="Times New Roman" w:eastAsiaTheme="minorEastAsia"/>
                <w:sz w:val="18"/>
                <w:szCs w:val="18"/>
              </w:rPr>
            </w:pPr>
            <w:r>
              <w:rPr>
                <w:rFonts w:hint="eastAsia" w:ascii="Times New Roman" w:hAnsi="Times New Roman" w:eastAsiaTheme="minorEastAsia"/>
                <w:sz w:val="18"/>
                <w:szCs w:val="18"/>
              </w:rPr>
              <w:t>独山县基长镇秀峰村</w:t>
            </w:r>
          </w:p>
        </w:tc>
        <w:tc>
          <w:tcPr>
            <w:tcW w:w="1056" w:type="dxa"/>
            <w:vMerge w:val="continue"/>
            <w:vAlign w:val="center"/>
          </w:tcPr>
          <w:p>
            <w:pPr>
              <w:pStyle w:val="11"/>
              <w:widowControl w:val="0"/>
              <w:tabs>
                <w:tab w:val="center" w:pos="4201"/>
                <w:tab w:val="right" w:leader="dot" w:pos="9298"/>
              </w:tabs>
              <w:adjustRightInd w:val="0"/>
              <w:snapToGrid w:val="0"/>
              <w:ind w:firstLine="0" w:firstLineChars="0"/>
              <w:rPr>
                <w:rFonts w:ascii="Times New Roman" w:hAnsi="Times New Roman" w:eastAsiaTheme="minorEastAsia"/>
                <w:sz w:val="18"/>
                <w:szCs w:val="18"/>
              </w:rPr>
            </w:pPr>
          </w:p>
        </w:tc>
        <w:tc>
          <w:tcPr>
            <w:tcW w:w="993" w:type="dxa"/>
            <w:vAlign w:val="center"/>
          </w:tcPr>
          <w:p>
            <w:pPr>
              <w:pStyle w:val="11"/>
              <w:widowControl w:val="0"/>
              <w:tabs>
                <w:tab w:val="center" w:pos="4201"/>
                <w:tab w:val="right" w:leader="dot" w:pos="9298"/>
              </w:tabs>
              <w:adjustRightInd w:val="0"/>
              <w:snapToGrid w:val="0"/>
              <w:ind w:firstLine="0" w:firstLineChars="0"/>
              <w:jc w:val="center"/>
              <w:rPr>
                <w:rFonts w:ascii="Times New Roman" w:hAnsi="Times New Roman" w:eastAsiaTheme="minorEastAsia"/>
                <w:sz w:val="18"/>
                <w:szCs w:val="18"/>
              </w:rPr>
            </w:pPr>
            <w:r>
              <w:rPr>
                <w:rFonts w:hint="eastAsia" w:ascii="Times New Roman" w:hAnsi="Times New Roman" w:eastAsiaTheme="minorEastAsia"/>
                <w:sz w:val="18"/>
                <w:szCs w:val="18"/>
              </w:rPr>
              <w:t>大棚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8" w:type="dxa"/>
            <w:vAlign w:val="center"/>
          </w:tcPr>
          <w:p>
            <w:pPr>
              <w:pStyle w:val="11"/>
              <w:widowControl w:val="0"/>
              <w:tabs>
                <w:tab w:val="center" w:pos="4201"/>
                <w:tab w:val="right" w:leader="dot" w:pos="9298"/>
              </w:tabs>
              <w:adjustRightInd w:val="0"/>
              <w:snapToGrid w:val="0"/>
              <w:ind w:firstLine="0" w:firstLineChars="0"/>
              <w:rPr>
                <w:rFonts w:ascii="Times New Roman" w:hAnsi="Times New Roman" w:eastAsiaTheme="minorEastAsia"/>
                <w:sz w:val="18"/>
                <w:szCs w:val="18"/>
              </w:rPr>
            </w:pPr>
            <w:r>
              <w:rPr>
                <w:rFonts w:ascii="Times New Roman" w:hAnsi="Times New Roman" w:eastAsiaTheme="minorEastAsia"/>
                <w:sz w:val="18"/>
                <w:szCs w:val="18"/>
              </w:rPr>
              <w:t>20181205</w:t>
            </w:r>
          </w:p>
        </w:tc>
        <w:tc>
          <w:tcPr>
            <w:tcW w:w="992" w:type="dxa"/>
            <w:vMerge w:val="continue"/>
            <w:vAlign w:val="center"/>
          </w:tcPr>
          <w:p>
            <w:pPr>
              <w:pStyle w:val="11"/>
              <w:widowControl w:val="0"/>
              <w:tabs>
                <w:tab w:val="center" w:pos="4201"/>
                <w:tab w:val="right" w:leader="dot" w:pos="9298"/>
              </w:tabs>
              <w:adjustRightInd w:val="0"/>
              <w:snapToGrid w:val="0"/>
              <w:ind w:firstLine="0" w:firstLineChars="0"/>
              <w:rPr>
                <w:rFonts w:ascii="Times New Roman" w:hAnsi="Times New Roman" w:eastAsiaTheme="minorEastAsia"/>
                <w:sz w:val="18"/>
                <w:szCs w:val="18"/>
              </w:rPr>
            </w:pPr>
          </w:p>
        </w:tc>
        <w:tc>
          <w:tcPr>
            <w:tcW w:w="850" w:type="dxa"/>
            <w:vAlign w:val="center"/>
          </w:tcPr>
          <w:p>
            <w:pPr>
              <w:pStyle w:val="11"/>
              <w:widowControl w:val="0"/>
              <w:tabs>
                <w:tab w:val="center" w:pos="4201"/>
                <w:tab w:val="right" w:leader="dot" w:pos="9298"/>
              </w:tabs>
              <w:adjustRightInd w:val="0"/>
              <w:snapToGrid w:val="0"/>
              <w:ind w:firstLine="0" w:firstLineChars="0"/>
              <w:rPr>
                <w:rFonts w:ascii="Times New Roman" w:hAnsi="Times New Roman" w:eastAsiaTheme="minorEastAsia"/>
                <w:sz w:val="18"/>
                <w:szCs w:val="18"/>
              </w:rPr>
            </w:pPr>
            <w:r>
              <w:rPr>
                <w:rFonts w:ascii="Times New Roman" w:hAnsi="Times New Roman" w:eastAsiaTheme="minorEastAsia"/>
                <w:sz w:val="18"/>
                <w:szCs w:val="18"/>
              </w:rPr>
              <w:t>沿河县</w:t>
            </w:r>
          </w:p>
        </w:tc>
        <w:tc>
          <w:tcPr>
            <w:tcW w:w="1701" w:type="dxa"/>
            <w:vAlign w:val="center"/>
          </w:tcPr>
          <w:p>
            <w:pPr>
              <w:pStyle w:val="11"/>
              <w:widowControl w:val="0"/>
              <w:tabs>
                <w:tab w:val="center" w:pos="4201"/>
                <w:tab w:val="right" w:leader="dot" w:pos="9298"/>
              </w:tabs>
              <w:adjustRightInd w:val="0"/>
              <w:snapToGrid w:val="0"/>
              <w:ind w:firstLine="0" w:firstLineChars="0"/>
              <w:rPr>
                <w:rFonts w:ascii="Times New Roman" w:hAnsi="Times New Roman" w:eastAsiaTheme="minorEastAsia"/>
                <w:sz w:val="18"/>
                <w:szCs w:val="18"/>
              </w:rPr>
            </w:pPr>
            <w:r>
              <w:rPr>
                <w:rFonts w:ascii="Times New Roman" w:hAnsi="Times New Roman" w:eastAsiaTheme="minorEastAsia"/>
                <w:sz w:val="18"/>
                <w:szCs w:val="18"/>
              </w:rPr>
              <w:t>沿河新秀中药材农民专业合作社</w:t>
            </w:r>
          </w:p>
        </w:tc>
        <w:tc>
          <w:tcPr>
            <w:tcW w:w="1779" w:type="dxa"/>
            <w:vAlign w:val="center"/>
          </w:tcPr>
          <w:p>
            <w:pPr>
              <w:pStyle w:val="11"/>
              <w:widowControl w:val="0"/>
              <w:tabs>
                <w:tab w:val="center" w:pos="4201"/>
                <w:tab w:val="right" w:leader="dot" w:pos="9298"/>
              </w:tabs>
              <w:adjustRightInd w:val="0"/>
              <w:snapToGrid w:val="0"/>
              <w:ind w:firstLine="0" w:firstLineChars="0"/>
              <w:rPr>
                <w:rFonts w:ascii="Times New Roman" w:hAnsi="Times New Roman" w:eastAsiaTheme="minorEastAsia"/>
                <w:sz w:val="18"/>
                <w:szCs w:val="18"/>
              </w:rPr>
            </w:pPr>
            <w:r>
              <w:rPr>
                <w:rFonts w:hint="eastAsia" w:ascii="Times New Roman" w:hAnsi="Times New Roman" w:eastAsiaTheme="minorEastAsia"/>
                <w:sz w:val="18"/>
                <w:szCs w:val="18"/>
              </w:rPr>
              <w:t>铜仁市沿河土家族自治县沙子镇永红村车田组</w:t>
            </w:r>
          </w:p>
        </w:tc>
        <w:tc>
          <w:tcPr>
            <w:tcW w:w="1056" w:type="dxa"/>
            <w:vMerge w:val="continue"/>
            <w:vAlign w:val="center"/>
          </w:tcPr>
          <w:p>
            <w:pPr>
              <w:pStyle w:val="11"/>
              <w:widowControl w:val="0"/>
              <w:tabs>
                <w:tab w:val="center" w:pos="4201"/>
                <w:tab w:val="right" w:leader="dot" w:pos="9298"/>
              </w:tabs>
              <w:adjustRightInd w:val="0"/>
              <w:snapToGrid w:val="0"/>
              <w:ind w:firstLine="0" w:firstLineChars="0"/>
              <w:rPr>
                <w:rFonts w:ascii="Times New Roman" w:hAnsi="Times New Roman" w:eastAsiaTheme="minorEastAsia"/>
                <w:sz w:val="18"/>
                <w:szCs w:val="18"/>
              </w:rPr>
            </w:pPr>
          </w:p>
        </w:tc>
        <w:tc>
          <w:tcPr>
            <w:tcW w:w="993" w:type="dxa"/>
            <w:vAlign w:val="center"/>
          </w:tcPr>
          <w:p>
            <w:pPr>
              <w:pStyle w:val="11"/>
              <w:widowControl w:val="0"/>
              <w:tabs>
                <w:tab w:val="center" w:pos="4201"/>
                <w:tab w:val="right" w:leader="dot" w:pos="9298"/>
              </w:tabs>
              <w:adjustRightInd w:val="0"/>
              <w:snapToGrid w:val="0"/>
              <w:ind w:firstLine="0" w:firstLineChars="0"/>
              <w:jc w:val="center"/>
              <w:rPr>
                <w:rFonts w:ascii="Times New Roman" w:hAnsi="Times New Roman" w:eastAsiaTheme="minorEastAsia"/>
                <w:sz w:val="18"/>
                <w:szCs w:val="18"/>
              </w:rPr>
            </w:pPr>
            <w:r>
              <w:rPr>
                <w:rFonts w:hint="eastAsia" w:ascii="Times New Roman" w:hAnsi="Times New Roman" w:eastAsiaTheme="minorEastAsia"/>
                <w:sz w:val="18"/>
                <w:szCs w:val="18"/>
              </w:rPr>
              <w:t>大棚</w:t>
            </w:r>
          </w:p>
        </w:tc>
      </w:tr>
    </w:tbl>
    <w:p>
      <w:pPr>
        <w:pStyle w:val="11"/>
        <w:tabs>
          <w:tab w:val="center" w:pos="4201"/>
          <w:tab w:val="right" w:leader="dot" w:pos="9298"/>
        </w:tabs>
        <w:adjustRightInd w:val="0"/>
        <w:snapToGrid w:val="0"/>
        <w:spacing w:before="120" w:beforeLines="50" w:line="360" w:lineRule="auto"/>
        <w:ind w:firstLine="424" w:firstLineChars="202"/>
        <w:rPr>
          <w:rFonts w:ascii="Times New Roman" w:hAnsi="Times New Roman"/>
          <w:sz w:val="21"/>
          <w:szCs w:val="21"/>
        </w:rPr>
      </w:pPr>
    </w:p>
    <w:p>
      <w:pPr>
        <w:pStyle w:val="11"/>
        <w:tabs>
          <w:tab w:val="center" w:pos="4201"/>
          <w:tab w:val="right" w:leader="dot" w:pos="9298"/>
        </w:tabs>
        <w:adjustRightInd w:val="0"/>
        <w:snapToGrid w:val="0"/>
        <w:spacing w:before="120" w:beforeLines="50" w:line="360" w:lineRule="auto"/>
        <w:ind w:firstLine="424" w:firstLineChars="202"/>
        <w:rPr>
          <w:rFonts w:ascii="Times New Roman" w:hAnsi="Times New Roman"/>
          <w:sz w:val="21"/>
          <w:szCs w:val="21"/>
        </w:rPr>
      </w:pPr>
      <w:r>
        <w:rPr>
          <w:rFonts w:hint="eastAsia" w:ascii="Times New Roman" w:hAnsi="Times New Roman"/>
          <w:sz w:val="21"/>
          <w:szCs w:val="21"/>
        </w:rPr>
        <w:t>铁皮石斛叶食品安全地方标准制定研究所用的铁皮石斛叶样品，由贵州省林业局从安龙西城秀树农林有限公司、安龙利增农业有限公司、贵州绿健神农有机农业股份有限公司、贵州济生农业科技有限公司等贵州85家铁皮石斛种植基地收集的47份样品，经检验重复、合格等程序，采自兴义市贵州皇草农特旅游开发有限公司的TPSH2019-031号及勐海金沙农业科技发展有限公司的TPSH2019-040号等26份样品不合格，未纳入分析范围。共整理出21份铁皮石斛叶干叶样品，采样信息见图1。</w:t>
      </w:r>
    </w:p>
    <w:p>
      <w:pPr>
        <w:pStyle w:val="11"/>
        <w:tabs>
          <w:tab w:val="center" w:pos="4201"/>
          <w:tab w:val="right" w:leader="dot" w:pos="9298"/>
        </w:tabs>
        <w:adjustRightInd w:val="0"/>
        <w:snapToGrid w:val="0"/>
        <w:spacing w:before="120" w:beforeLines="50" w:line="360" w:lineRule="auto"/>
        <w:ind w:firstLine="484" w:firstLineChars="202"/>
        <w:rPr>
          <w:rFonts w:ascii="Times New Roman" w:hAnsi="Times New Roman"/>
          <w:sz w:val="21"/>
          <w:szCs w:val="21"/>
        </w:rPr>
      </w:pPr>
      <w:r>
        <w:rPr>
          <w:rFonts w:ascii="Times New Roman" w:hAnsi="Times New Roman"/>
          <w:sz w:val="24"/>
          <w:szCs w:val="24"/>
        </w:rPr>
        <w:drawing>
          <wp:anchor distT="0" distB="0" distL="114300" distR="114300" simplePos="0" relativeHeight="251669504" behindDoc="0" locked="0" layoutInCell="1" allowOverlap="1">
            <wp:simplePos x="0" y="0"/>
            <wp:positionH relativeFrom="margin">
              <wp:posOffset>1390650</wp:posOffset>
            </wp:positionH>
            <wp:positionV relativeFrom="paragraph">
              <wp:posOffset>-1251585</wp:posOffset>
            </wp:positionV>
            <wp:extent cx="3228340" cy="6410325"/>
            <wp:effectExtent l="28257" t="66993" r="38418" b="57467"/>
            <wp:wrapTopAndBottom/>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5" cstate="print">
                      <a:extLst>
                        <a:ext uri="{28A0092B-C50C-407E-A947-70E740481C1C}">
                          <a14:useLocalDpi xmlns:a14="http://schemas.microsoft.com/office/drawing/2010/main" val="0"/>
                        </a:ext>
                      </a:extLst>
                    </a:blip>
                    <a:srcRect l="5688"/>
                    <a:stretch>
                      <a:fillRect/>
                    </a:stretch>
                  </pic:blipFill>
                  <pic:spPr>
                    <a:xfrm rot="16260000">
                      <a:off x="0" y="0"/>
                      <a:ext cx="3228340" cy="6410325"/>
                    </a:xfrm>
                    <a:prstGeom prst="rect">
                      <a:avLst/>
                    </a:prstGeom>
                    <a:ln>
                      <a:noFill/>
                    </a:ln>
                  </pic:spPr>
                </pic:pic>
              </a:graphicData>
            </a:graphic>
          </wp:anchor>
        </w:drawing>
      </w:r>
    </w:p>
    <w:p>
      <w:pPr>
        <w:pStyle w:val="11"/>
        <w:tabs>
          <w:tab w:val="center" w:pos="4201"/>
          <w:tab w:val="right" w:leader="dot" w:pos="9298"/>
        </w:tabs>
        <w:adjustRightInd w:val="0"/>
        <w:snapToGrid w:val="0"/>
        <w:spacing w:before="120" w:beforeLines="50" w:line="360" w:lineRule="auto"/>
        <w:ind w:firstLine="426" w:firstLineChars="202"/>
        <w:jc w:val="center"/>
        <w:rPr>
          <w:rFonts w:ascii="Times New Roman" w:hAnsi="Times New Roman"/>
          <w:b/>
          <w:sz w:val="21"/>
          <w:szCs w:val="21"/>
        </w:rPr>
      </w:pPr>
      <w:r>
        <w:rPr>
          <w:rFonts w:hint="eastAsia" w:ascii="Times New Roman" w:hAnsi="Times New Roman"/>
          <w:b/>
          <w:sz w:val="21"/>
          <w:szCs w:val="21"/>
        </w:rPr>
        <w:t>图1</w:t>
      </w:r>
      <w:r>
        <w:rPr>
          <w:rFonts w:ascii="Times New Roman" w:hAnsi="Times New Roman"/>
          <w:b/>
          <w:sz w:val="21"/>
          <w:szCs w:val="21"/>
        </w:rPr>
        <w:t xml:space="preserve"> </w:t>
      </w:r>
      <w:r>
        <w:rPr>
          <w:rFonts w:hint="eastAsia" w:ascii="Times New Roman" w:hAnsi="Times New Roman"/>
          <w:b/>
          <w:sz w:val="21"/>
          <w:szCs w:val="21"/>
        </w:rPr>
        <w:t>贵州铁皮石斛叶样品采集登记表</w:t>
      </w:r>
    </w:p>
    <w:p>
      <w:pPr>
        <w:pStyle w:val="11"/>
        <w:tabs>
          <w:tab w:val="center" w:pos="4201"/>
          <w:tab w:val="right" w:leader="dot" w:pos="9298"/>
        </w:tabs>
        <w:adjustRightInd w:val="0"/>
        <w:snapToGrid w:val="0"/>
        <w:spacing w:line="360" w:lineRule="auto"/>
        <w:ind w:firstLine="426" w:firstLineChars="202"/>
        <w:rPr>
          <w:rFonts w:ascii="Times New Roman" w:hAnsi="Times New Roman"/>
          <w:sz w:val="21"/>
          <w:szCs w:val="21"/>
        </w:rPr>
      </w:pPr>
      <w:r>
        <w:rPr>
          <w:b/>
          <w:color w:val="000000" w:themeColor="text1"/>
          <w:sz w:val="21"/>
          <w:szCs w:val="21"/>
          <w14:textFill>
            <w14:solidFill>
              <w14:schemeClr w14:val="tx1"/>
            </w14:solidFill>
          </w14:textFill>
        </w:rPr>
        <w:drawing>
          <wp:anchor distT="0" distB="0" distL="114300" distR="114300" simplePos="0" relativeHeight="251662336" behindDoc="0" locked="0" layoutInCell="1" allowOverlap="1">
            <wp:simplePos x="0" y="0"/>
            <wp:positionH relativeFrom="page">
              <wp:posOffset>1045210</wp:posOffset>
            </wp:positionH>
            <wp:positionV relativeFrom="paragraph">
              <wp:posOffset>1092835</wp:posOffset>
            </wp:positionV>
            <wp:extent cx="5715000" cy="2752725"/>
            <wp:effectExtent l="0" t="0" r="0" b="0"/>
            <wp:wrapTopAndBottom/>
            <wp:docPr id="3"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6"/>
              </a:graphicData>
            </a:graphic>
          </wp:anchor>
        </w:drawing>
      </w:r>
      <w:r>
        <w:rPr>
          <w:rFonts w:hint="eastAsia" w:ascii="Times New Roman" w:hAnsi="Times New Roman"/>
          <w:sz w:val="21"/>
          <w:szCs w:val="21"/>
        </w:rPr>
        <w:t>为确保采样的科学性和合理性，贵州省林业局对贵州铁皮石斛种植基地进行了统计调查。调查显示：贵州种植铁皮石斛的基地或企业共8</w:t>
      </w:r>
      <w:r>
        <w:rPr>
          <w:rFonts w:ascii="Times New Roman" w:hAnsi="Times New Roman"/>
          <w:sz w:val="21"/>
          <w:szCs w:val="21"/>
        </w:rPr>
        <w:t>5</w:t>
      </w:r>
      <w:r>
        <w:rPr>
          <w:rFonts w:hint="eastAsia" w:ascii="Times New Roman" w:hAnsi="Times New Roman"/>
          <w:sz w:val="21"/>
          <w:szCs w:val="21"/>
        </w:rPr>
        <w:t>家，仿野生栽培19287亩，大棚栽培3058.3亩，年种苗生产能力为17630万丛，贵州省铁皮石斛的栽培以兴义、安龙、荔波、独山、沿河规模最大（图</w:t>
      </w:r>
      <w:r>
        <w:rPr>
          <w:rFonts w:ascii="Times New Roman" w:hAnsi="Times New Roman"/>
          <w:sz w:val="21"/>
          <w:szCs w:val="21"/>
        </w:rPr>
        <w:t>2</w:t>
      </w:r>
      <w:r>
        <w:rPr>
          <w:rFonts w:hint="eastAsia" w:ascii="Times New Roman" w:hAnsi="Times New Roman"/>
          <w:sz w:val="21"/>
          <w:szCs w:val="21"/>
        </w:rPr>
        <w:t>），</w:t>
      </w:r>
    </w:p>
    <w:p>
      <w:pPr>
        <w:pStyle w:val="11"/>
        <w:tabs>
          <w:tab w:val="center" w:pos="4201"/>
          <w:tab w:val="right" w:leader="dot" w:pos="9298"/>
        </w:tabs>
        <w:adjustRightInd w:val="0"/>
        <w:snapToGrid w:val="0"/>
        <w:spacing w:line="360" w:lineRule="auto"/>
        <w:ind w:firstLine="0" w:firstLineChars="0"/>
        <w:jc w:val="center"/>
        <w:rPr>
          <w:rFonts w:ascii="Times New Roman" w:hAnsi="Times New Roman"/>
          <w:b/>
          <w:color w:val="000000" w:themeColor="text1"/>
          <w:sz w:val="21"/>
          <w:szCs w:val="21"/>
          <w14:textFill>
            <w14:solidFill>
              <w14:schemeClr w14:val="tx1"/>
            </w14:solidFill>
          </w14:textFill>
        </w:rPr>
      </w:pPr>
      <w:r>
        <w:rPr>
          <w:rFonts w:hint="eastAsia" w:ascii="Times New Roman" w:hAnsi="Times New Roman"/>
          <w:b/>
          <w:color w:val="000000" w:themeColor="text1"/>
          <w:sz w:val="21"/>
          <w:szCs w:val="21"/>
          <w14:textFill>
            <w14:solidFill>
              <w14:schemeClr w14:val="tx1"/>
            </w14:solidFill>
          </w14:textFill>
        </w:rPr>
        <w:t>图2</w:t>
      </w:r>
      <w:r>
        <w:rPr>
          <w:rFonts w:ascii="Times New Roman" w:hAnsi="Times New Roman"/>
          <w:b/>
          <w:color w:val="000000" w:themeColor="text1"/>
          <w:sz w:val="21"/>
          <w:szCs w:val="21"/>
          <w14:textFill>
            <w14:solidFill>
              <w14:schemeClr w14:val="tx1"/>
            </w14:solidFill>
          </w14:textFill>
        </w:rPr>
        <w:t xml:space="preserve"> </w:t>
      </w:r>
      <w:r>
        <w:rPr>
          <w:rFonts w:hint="eastAsia"/>
          <w:b/>
          <w:color w:val="000000" w:themeColor="text1"/>
          <w:sz w:val="21"/>
          <w:szCs w:val="21"/>
          <w14:textFill>
            <w14:solidFill>
              <w14:schemeClr w14:val="tx1"/>
            </w14:solidFill>
          </w14:textFill>
        </w:rPr>
        <w:t>贵州省不同县市铁皮石斛大棚、仿野生栽培情况及年种苗生产能力</w:t>
      </w:r>
    </w:p>
    <w:p>
      <w:pPr>
        <w:pStyle w:val="11"/>
        <w:tabs>
          <w:tab w:val="center" w:pos="4201"/>
          <w:tab w:val="right" w:leader="dot" w:pos="9298"/>
        </w:tabs>
        <w:adjustRightInd w:val="0"/>
        <w:snapToGrid w:val="0"/>
        <w:spacing w:line="360" w:lineRule="auto"/>
        <w:ind w:firstLine="0" w:firstLineChars="0"/>
        <w:rPr>
          <w:rFonts w:ascii="Times New Roman" w:hAnsi="Times New Roman"/>
          <w:sz w:val="21"/>
          <w:szCs w:val="21"/>
        </w:rPr>
      </w:pPr>
      <w:r>
        <w:rPr>
          <w:sz w:val="24"/>
          <w:szCs w:val="24"/>
        </w:rPr>
        <w:drawing>
          <wp:anchor distT="0" distB="0" distL="114300" distR="114300" simplePos="0" relativeHeight="251663360" behindDoc="0" locked="0" layoutInCell="1" allowOverlap="1">
            <wp:simplePos x="0" y="0"/>
            <wp:positionH relativeFrom="margin">
              <wp:posOffset>432435</wp:posOffset>
            </wp:positionH>
            <wp:positionV relativeFrom="paragraph">
              <wp:posOffset>591185</wp:posOffset>
            </wp:positionV>
            <wp:extent cx="4674235" cy="2143125"/>
            <wp:effectExtent l="0" t="0" r="0" b="0"/>
            <wp:wrapTopAndBottom/>
            <wp:docPr id="2"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7"/>
              </a:graphicData>
            </a:graphic>
          </wp:anchor>
        </w:drawing>
      </w:r>
      <w:r>
        <w:rPr>
          <w:rFonts w:hint="eastAsia" w:ascii="Times New Roman" w:hAnsi="Times New Roman"/>
          <w:sz w:val="21"/>
          <w:szCs w:val="21"/>
        </w:rPr>
        <w:t>五县栽培量占全省总面积的62%（图</w:t>
      </w:r>
      <w:r>
        <w:rPr>
          <w:rFonts w:ascii="Times New Roman" w:hAnsi="Times New Roman"/>
          <w:sz w:val="21"/>
          <w:szCs w:val="21"/>
        </w:rPr>
        <w:t>3</w:t>
      </w:r>
      <w:r>
        <w:rPr>
          <w:rFonts w:hint="eastAsia" w:ascii="Times New Roman" w:hAnsi="Times New Roman"/>
          <w:sz w:val="21"/>
          <w:szCs w:val="21"/>
        </w:rPr>
        <w:t>）。2</w:t>
      </w:r>
      <w:r>
        <w:rPr>
          <w:rFonts w:ascii="Times New Roman" w:hAnsi="Times New Roman"/>
          <w:sz w:val="21"/>
          <w:szCs w:val="21"/>
        </w:rPr>
        <w:t>1</w:t>
      </w:r>
      <w:r>
        <w:rPr>
          <w:rFonts w:hint="eastAsia" w:ascii="Times New Roman" w:hAnsi="Times New Roman"/>
          <w:sz w:val="21"/>
          <w:szCs w:val="21"/>
        </w:rPr>
        <w:t>批样品覆盖了我省石斛传统集散地兴义市，以及大规模种植区域安龙、荔波、独山、沿河等县，所选样品具有代表性。</w:t>
      </w:r>
    </w:p>
    <w:p>
      <w:pPr>
        <w:pStyle w:val="11"/>
        <w:tabs>
          <w:tab w:val="center" w:pos="4201"/>
          <w:tab w:val="right" w:leader="dot" w:pos="9298"/>
        </w:tabs>
        <w:adjustRightInd w:val="0"/>
        <w:snapToGrid w:val="0"/>
        <w:spacing w:line="360" w:lineRule="auto"/>
        <w:ind w:firstLine="0" w:firstLineChars="0"/>
        <w:jc w:val="center"/>
        <w:rPr>
          <w:b/>
          <w:color w:val="000000" w:themeColor="text1"/>
          <w:sz w:val="21"/>
          <w:szCs w:val="21"/>
          <w14:textFill>
            <w14:solidFill>
              <w14:schemeClr w14:val="tx1"/>
            </w14:solidFill>
          </w14:textFill>
        </w:rPr>
      </w:pPr>
      <w:r>
        <w:rPr>
          <w:rFonts w:hint="eastAsia"/>
          <w:b/>
          <w:color w:val="000000" w:themeColor="text1"/>
          <w:sz w:val="21"/>
          <w:szCs w:val="21"/>
          <w14:textFill>
            <w14:solidFill>
              <w14:schemeClr w14:val="tx1"/>
            </w14:solidFill>
          </w14:textFill>
        </w:rPr>
        <w:t>图</w:t>
      </w:r>
      <w:r>
        <w:rPr>
          <w:rFonts w:ascii="Times New Roman" w:hAnsi="Times New Roman"/>
          <w:b/>
          <w:color w:val="000000" w:themeColor="text1"/>
          <w:sz w:val="21"/>
          <w:szCs w:val="21"/>
          <w14:textFill>
            <w14:solidFill>
              <w14:schemeClr w14:val="tx1"/>
            </w14:solidFill>
          </w14:textFill>
        </w:rPr>
        <w:t>3</w:t>
      </w:r>
      <w:r>
        <w:rPr>
          <w:rFonts w:hint="eastAsia"/>
          <w:b/>
          <w:color w:val="000000" w:themeColor="text1"/>
          <w:sz w:val="21"/>
          <w:szCs w:val="21"/>
          <w14:textFill>
            <w14:solidFill>
              <w14:schemeClr w14:val="tx1"/>
            </w14:solidFill>
          </w14:textFill>
        </w:rPr>
        <w:t xml:space="preserve"> 贵州省兴义、安龙、荔波、独山、沿河石斛仿野生栽培量占全省比重</w:t>
      </w:r>
    </w:p>
    <w:p>
      <w:pPr>
        <w:pStyle w:val="16"/>
        <w:adjustRightInd w:val="0"/>
        <w:snapToGrid w:val="0"/>
        <w:spacing w:before="120" w:beforeLines="50" w:after="120" w:afterLines="50" w:line="360" w:lineRule="auto"/>
        <w:ind w:firstLine="482" w:firstLineChars="200"/>
        <w:rPr>
          <w:rFonts w:ascii="Times New Roman" w:hAnsi="Times New Roman" w:eastAsia="楷体"/>
          <w:sz w:val="24"/>
          <w:szCs w:val="24"/>
        </w:rPr>
      </w:pPr>
      <w:r>
        <w:rPr>
          <w:rFonts w:hint="eastAsia" w:ascii="Times New Roman" w:hAnsi="Times New Roman" w:eastAsia="楷体"/>
          <w:sz w:val="24"/>
          <w:szCs w:val="24"/>
        </w:rPr>
        <w:t>（四）技术要求</w:t>
      </w:r>
    </w:p>
    <w:p>
      <w:pPr>
        <w:pStyle w:val="14"/>
        <w:adjustRightInd w:val="0"/>
        <w:snapToGrid w:val="0"/>
        <w:ind w:firstLine="420"/>
        <w:rPr>
          <w:rFonts w:ascii="Times New Roman" w:hAnsi="Times New Roman" w:cs="Times New Roman"/>
          <w:sz w:val="21"/>
          <w:szCs w:val="21"/>
        </w:rPr>
      </w:pPr>
      <w:r>
        <w:rPr>
          <w:rFonts w:hint="eastAsia" w:ascii="Times New Roman" w:hAnsi="Times New Roman" w:cs="Times New Roman"/>
          <w:sz w:val="21"/>
          <w:szCs w:val="21"/>
        </w:rPr>
        <w:t>本标准对原料要求、感官要求、理化指标、污染物、农药残留限量及日推荐摄入量作出了规定。</w:t>
      </w:r>
    </w:p>
    <w:p>
      <w:pPr>
        <w:spacing w:before="120" w:beforeLines="50" w:after="120" w:afterLines="50" w:line="360" w:lineRule="auto"/>
        <w:ind w:left="437"/>
        <w:rPr>
          <w:b/>
          <w:szCs w:val="21"/>
        </w:rPr>
      </w:pPr>
      <w:r>
        <w:rPr>
          <w:b/>
          <w:szCs w:val="21"/>
        </w:rPr>
        <w:t xml:space="preserve">1. </w:t>
      </w:r>
      <w:r>
        <w:rPr>
          <w:rFonts w:hint="eastAsia"/>
          <w:b/>
          <w:szCs w:val="21"/>
        </w:rPr>
        <w:t>原料要求</w:t>
      </w:r>
    </w:p>
    <w:p>
      <w:pPr>
        <w:pStyle w:val="11"/>
        <w:tabs>
          <w:tab w:val="center" w:pos="4201"/>
          <w:tab w:val="right" w:leader="dot" w:pos="9298"/>
        </w:tabs>
        <w:adjustRightInd w:val="0"/>
        <w:snapToGrid w:val="0"/>
        <w:spacing w:line="360" w:lineRule="auto"/>
        <w:ind w:firstLine="420"/>
        <w:rPr>
          <w:rFonts w:ascii="Times New Roman" w:hAnsi="Times New Roman"/>
          <w:sz w:val="21"/>
          <w:szCs w:val="21"/>
        </w:rPr>
      </w:pPr>
      <w:r>
        <w:rPr>
          <w:rFonts w:hint="eastAsia" w:ascii="Times New Roman" w:hAnsi="Times New Roman"/>
          <w:sz w:val="21"/>
          <w:szCs w:val="21"/>
        </w:rPr>
        <w:t>铁皮石斛鲜叶应具有其特有的形态特征及固有的色、香、味，新鲜、无腐烂、无霉变、无异味。</w:t>
      </w:r>
    </w:p>
    <w:p>
      <w:pPr>
        <w:spacing w:before="120" w:beforeLines="50" w:after="120" w:afterLines="50" w:line="360" w:lineRule="auto"/>
        <w:ind w:left="437"/>
        <w:rPr>
          <w:b/>
          <w:szCs w:val="21"/>
        </w:rPr>
      </w:pPr>
      <w:r>
        <w:rPr>
          <w:b/>
          <w:szCs w:val="21"/>
        </w:rPr>
        <w:t xml:space="preserve">2. </w:t>
      </w:r>
      <w:r>
        <w:rPr>
          <w:rFonts w:hint="eastAsia"/>
          <w:b/>
          <w:szCs w:val="21"/>
        </w:rPr>
        <w:t>感官要求</w:t>
      </w:r>
    </w:p>
    <w:p>
      <w:pPr>
        <w:pStyle w:val="11"/>
        <w:tabs>
          <w:tab w:val="center" w:pos="4201"/>
          <w:tab w:val="right" w:leader="dot" w:pos="9298"/>
        </w:tabs>
        <w:adjustRightInd w:val="0"/>
        <w:snapToGrid w:val="0"/>
        <w:spacing w:line="360" w:lineRule="auto"/>
        <w:ind w:firstLine="420"/>
        <w:rPr>
          <w:rFonts w:ascii="Times New Roman" w:hAnsi="Times New Roman"/>
          <w:sz w:val="21"/>
          <w:szCs w:val="21"/>
        </w:rPr>
      </w:pPr>
      <w:r>
        <w:rPr>
          <w:rFonts w:hint="eastAsia" w:ascii="Times New Roman" w:hAnsi="Times New Roman"/>
          <w:sz w:val="21"/>
          <w:szCs w:val="21"/>
        </w:rPr>
        <w:t>规定了“色泽”、“滋味、气味”和“状态”，即“呈金黄色至黄褐色或灰绿色；气微</w:t>
      </w:r>
      <w:r>
        <w:rPr>
          <w:rFonts w:ascii="Times New Roman" w:hAnsi="Times New Roman"/>
          <w:sz w:val="21"/>
          <w:szCs w:val="21"/>
        </w:rPr>
        <w:t>，</w:t>
      </w:r>
      <w:r>
        <w:rPr>
          <w:rFonts w:hint="eastAsia" w:ascii="Times New Roman" w:hAnsi="Times New Roman"/>
          <w:sz w:val="21"/>
          <w:szCs w:val="21"/>
        </w:rPr>
        <w:t>味微苦而回甜，</w:t>
      </w:r>
      <w:r>
        <w:rPr>
          <w:rFonts w:ascii="Times New Roman" w:hAnsi="Times New Roman"/>
          <w:sz w:val="21"/>
          <w:szCs w:val="21"/>
        </w:rPr>
        <w:t>无异味</w:t>
      </w:r>
      <w:r>
        <w:rPr>
          <w:rFonts w:hint="eastAsia" w:ascii="Times New Roman" w:hAnsi="Times New Roman"/>
          <w:sz w:val="21"/>
          <w:szCs w:val="21"/>
        </w:rPr>
        <w:t>；</w:t>
      </w:r>
      <w:r>
        <w:rPr>
          <w:rFonts w:ascii="Times New Roman" w:hAnsi="Times New Roman"/>
          <w:sz w:val="21"/>
          <w:szCs w:val="21"/>
        </w:rPr>
        <w:t>呈纸质，长圆状披针形</w:t>
      </w:r>
      <w:r>
        <w:rPr>
          <w:rFonts w:hint="eastAsia" w:ascii="Times New Roman" w:hAnsi="Times New Roman"/>
          <w:sz w:val="21"/>
          <w:szCs w:val="21"/>
        </w:rPr>
        <w:t>，</w:t>
      </w:r>
      <w:r>
        <w:rPr>
          <w:rFonts w:ascii="Times New Roman" w:hAnsi="Times New Roman"/>
          <w:sz w:val="21"/>
          <w:szCs w:val="21"/>
        </w:rPr>
        <w:t>先端钝并且多</w:t>
      </w:r>
      <w:r>
        <w:rPr>
          <w:rFonts w:hint="eastAsia" w:ascii="Times New Roman" w:hAnsi="Times New Roman"/>
          <w:sz w:val="21"/>
          <w:szCs w:val="21"/>
        </w:rPr>
        <w:t>少</w:t>
      </w:r>
      <w:r>
        <w:rPr>
          <w:rFonts w:ascii="Times New Roman" w:hAnsi="Times New Roman"/>
          <w:sz w:val="21"/>
          <w:szCs w:val="21"/>
        </w:rPr>
        <w:t>钩转</w:t>
      </w:r>
      <w:r>
        <w:rPr>
          <w:rFonts w:hint="eastAsia" w:ascii="Times New Roman" w:hAnsi="Times New Roman"/>
          <w:sz w:val="21"/>
          <w:szCs w:val="21"/>
        </w:rPr>
        <w:t>”。</w:t>
      </w:r>
    </w:p>
    <w:p>
      <w:pPr>
        <w:pStyle w:val="11"/>
        <w:tabs>
          <w:tab w:val="center" w:pos="4201"/>
          <w:tab w:val="right" w:leader="dot" w:pos="9298"/>
        </w:tabs>
        <w:adjustRightInd w:val="0"/>
        <w:snapToGrid w:val="0"/>
        <w:spacing w:line="360" w:lineRule="auto"/>
        <w:ind w:firstLine="420"/>
        <w:rPr>
          <w:rFonts w:ascii="Times New Roman" w:hAnsi="Times New Roman"/>
          <w:sz w:val="21"/>
          <w:szCs w:val="21"/>
        </w:rPr>
      </w:pPr>
      <w:r>
        <w:rPr>
          <w:rFonts w:hint="eastAsia" w:ascii="Times New Roman" w:hAnsi="Times New Roman"/>
          <w:sz w:val="21"/>
          <w:szCs w:val="21"/>
        </w:rPr>
        <w:t>对铁皮石斛叶的感官要求的制定，主要是考虑真伪鉴别的需要和保证产品质量的需要。目前技术情况下，感官指标是防止假冒伪劣的有效手段。</w:t>
      </w:r>
    </w:p>
    <w:p>
      <w:pPr>
        <w:spacing w:before="120" w:beforeLines="50" w:after="120" w:afterLines="50" w:line="360" w:lineRule="auto"/>
        <w:ind w:left="437"/>
        <w:rPr>
          <w:b/>
          <w:szCs w:val="21"/>
        </w:rPr>
      </w:pPr>
      <w:r>
        <w:rPr>
          <w:b/>
          <w:szCs w:val="21"/>
        </w:rPr>
        <w:t xml:space="preserve">3. </w:t>
      </w:r>
      <w:r>
        <w:rPr>
          <w:rFonts w:hint="eastAsia"/>
          <w:b/>
          <w:szCs w:val="21"/>
        </w:rPr>
        <w:t>理化指标</w:t>
      </w:r>
    </w:p>
    <w:p>
      <w:pPr>
        <w:pStyle w:val="11"/>
        <w:tabs>
          <w:tab w:val="center" w:pos="4201"/>
          <w:tab w:val="right" w:leader="dot" w:pos="9298"/>
        </w:tabs>
        <w:adjustRightInd w:val="0"/>
        <w:snapToGrid w:val="0"/>
        <w:spacing w:line="360" w:lineRule="auto"/>
        <w:ind w:firstLine="420" w:firstLineChars="0"/>
        <w:rPr>
          <w:rFonts w:ascii="Times New Roman" w:hAnsi="Times New Roman"/>
          <w:kern w:val="0"/>
          <w:sz w:val="21"/>
          <w:szCs w:val="21"/>
        </w:rPr>
      </w:pPr>
      <w:r>
        <w:rPr>
          <w:rFonts w:hint="eastAsia" w:ascii="Times New Roman" w:hAnsi="Times New Roman"/>
          <w:b/>
          <w:bCs/>
          <w:kern w:val="0"/>
          <w:sz w:val="21"/>
          <w:szCs w:val="21"/>
        </w:rPr>
        <w:t>（1）水分</w:t>
      </w:r>
    </w:p>
    <w:p>
      <w:pPr>
        <w:pStyle w:val="11"/>
        <w:tabs>
          <w:tab w:val="center" w:pos="4201"/>
          <w:tab w:val="right" w:leader="dot" w:pos="9298"/>
        </w:tabs>
        <w:adjustRightInd w:val="0"/>
        <w:snapToGrid w:val="0"/>
        <w:spacing w:line="360" w:lineRule="auto"/>
        <w:ind w:firstLine="420" w:firstLineChars="0"/>
        <w:rPr>
          <w:rFonts w:ascii="Times New Roman" w:hAnsi="Times New Roman"/>
          <w:kern w:val="0"/>
          <w:sz w:val="21"/>
          <w:szCs w:val="21"/>
        </w:rPr>
      </w:pPr>
      <w:r>
        <w:rPr>
          <w:rFonts w:hint="eastAsia" w:ascii="Times New Roman" w:hAnsi="Times New Roman"/>
          <w:kern w:val="0"/>
          <w:sz w:val="21"/>
          <w:szCs w:val="21"/>
        </w:rPr>
        <w:t>水分属于间接导致食品安全风险的指标。当铁皮石斛叶的水分高于12%时，极易在我国南方高温高湿地区产生霉变。考虑到水分的重要性，在标准制定的研究过程中，筛查了各种植区提供的干叶样品的水分。结果显示（表1</w:t>
      </w:r>
      <w:r>
        <w:rPr>
          <w:rFonts w:ascii="Times New Roman" w:hAnsi="Times New Roman"/>
          <w:kern w:val="0"/>
          <w:sz w:val="21"/>
          <w:szCs w:val="21"/>
        </w:rPr>
        <w:t xml:space="preserve"> </w:t>
      </w:r>
      <w:r>
        <w:rPr>
          <w:rFonts w:hint="eastAsia" w:ascii="Times New Roman" w:hAnsi="Times New Roman"/>
          <w:kern w:val="0"/>
          <w:sz w:val="21"/>
          <w:szCs w:val="21"/>
        </w:rPr>
        <w:t>水分项），从各种植区收集的</w:t>
      </w:r>
      <w:r>
        <w:rPr>
          <w:rFonts w:ascii="Times New Roman" w:hAnsi="Times New Roman"/>
          <w:kern w:val="0"/>
          <w:sz w:val="21"/>
          <w:szCs w:val="21"/>
        </w:rPr>
        <w:t>21</w:t>
      </w:r>
      <w:r>
        <w:rPr>
          <w:rFonts w:hint="eastAsia" w:ascii="Times New Roman" w:hAnsi="Times New Roman"/>
          <w:kern w:val="0"/>
          <w:sz w:val="21"/>
          <w:szCs w:val="21"/>
        </w:rPr>
        <w:t xml:space="preserve">批中，最小值为 </w:t>
      </w:r>
      <w:r>
        <w:rPr>
          <w:rFonts w:ascii="Times New Roman" w:hAnsi="Times New Roman"/>
          <w:kern w:val="0"/>
          <w:sz w:val="21"/>
          <w:szCs w:val="21"/>
        </w:rPr>
        <w:t>5.85</w:t>
      </w:r>
      <w:r>
        <w:rPr>
          <w:rFonts w:hint="eastAsia" w:ascii="Times New Roman" w:hAnsi="Times New Roman"/>
          <w:kern w:val="0"/>
          <w:sz w:val="21"/>
          <w:szCs w:val="21"/>
        </w:rPr>
        <w:t>%，最大值为1</w:t>
      </w:r>
      <w:r>
        <w:rPr>
          <w:rFonts w:ascii="Times New Roman" w:hAnsi="Times New Roman"/>
          <w:kern w:val="0"/>
          <w:sz w:val="21"/>
          <w:szCs w:val="21"/>
        </w:rPr>
        <w:t>3</w:t>
      </w:r>
      <w:r>
        <w:rPr>
          <w:rFonts w:hint="eastAsia" w:ascii="Times New Roman" w:hAnsi="Times New Roman"/>
          <w:kern w:val="0"/>
          <w:sz w:val="21"/>
          <w:szCs w:val="21"/>
        </w:rPr>
        <w:t>%，平均值为1</w:t>
      </w:r>
      <w:r>
        <w:rPr>
          <w:rFonts w:ascii="Times New Roman" w:hAnsi="Times New Roman"/>
          <w:kern w:val="0"/>
          <w:sz w:val="21"/>
          <w:szCs w:val="21"/>
        </w:rPr>
        <w:t>0.28</w:t>
      </w:r>
      <w:r>
        <w:rPr>
          <w:rFonts w:hint="eastAsia" w:ascii="Times New Roman" w:hAnsi="Times New Roman"/>
          <w:kern w:val="0"/>
          <w:sz w:val="21"/>
          <w:szCs w:val="21"/>
        </w:rPr>
        <w:t>%。参照N</w:t>
      </w:r>
      <w:r>
        <w:rPr>
          <w:rFonts w:ascii="Times New Roman" w:hAnsi="Times New Roman"/>
          <w:kern w:val="0"/>
          <w:sz w:val="21"/>
          <w:szCs w:val="21"/>
        </w:rPr>
        <w:t xml:space="preserve">Y/T 288-2018 </w:t>
      </w:r>
      <w:r>
        <w:rPr>
          <w:rFonts w:hint="eastAsia" w:ascii="Times New Roman" w:hAnsi="Times New Roman"/>
          <w:kern w:val="0"/>
          <w:sz w:val="21"/>
          <w:szCs w:val="21"/>
        </w:rPr>
        <w:t>《中华人民共和国农业行业标准绿色食品茶叶》对水分规定为≤</w:t>
      </w:r>
      <w:r>
        <w:rPr>
          <w:rFonts w:ascii="Times New Roman" w:hAnsi="Times New Roman"/>
          <w:kern w:val="0"/>
          <w:sz w:val="21"/>
          <w:szCs w:val="21"/>
        </w:rPr>
        <w:t>7</w:t>
      </w:r>
      <w:r>
        <w:rPr>
          <w:rFonts w:hint="eastAsia" w:ascii="Times New Roman" w:hAnsi="Times New Roman"/>
          <w:kern w:val="0"/>
          <w:sz w:val="21"/>
          <w:szCs w:val="21"/>
        </w:rPr>
        <w:t>.</w:t>
      </w:r>
      <w:r>
        <w:rPr>
          <w:rFonts w:ascii="Times New Roman" w:hAnsi="Times New Roman"/>
          <w:kern w:val="0"/>
          <w:sz w:val="21"/>
          <w:szCs w:val="21"/>
        </w:rPr>
        <w:t>0</w:t>
      </w:r>
      <w:r>
        <w:rPr>
          <w:rFonts w:hint="eastAsia" w:ascii="Times New Roman" w:hAnsi="Times New Roman"/>
          <w:kern w:val="0"/>
          <w:sz w:val="21"/>
          <w:szCs w:val="21"/>
        </w:rPr>
        <w:t xml:space="preserve">% </w:t>
      </w:r>
      <w:r>
        <w:rPr>
          <w:rFonts w:ascii="Times New Roman" w:hAnsi="Times New Roman"/>
          <w:kern w:val="0"/>
          <w:sz w:val="21"/>
          <w:szCs w:val="21"/>
        </w:rPr>
        <w:t>(</w:t>
      </w:r>
      <w:r>
        <w:rPr>
          <w:rFonts w:hint="eastAsia" w:ascii="Times New Roman" w:hAnsi="Times New Roman"/>
          <w:kern w:val="0"/>
          <w:sz w:val="21"/>
          <w:szCs w:val="21"/>
        </w:rPr>
        <w:t>碧螺春7</w:t>
      </w:r>
      <w:r>
        <w:rPr>
          <w:rFonts w:ascii="Times New Roman" w:hAnsi="Times New Roman"/>
          <w:kern w:val="0"/>
          <w:sz w:val="21"/>
          <w:szCs w:val="21"/>
        </w:rPr>
        <w:t>.5</w:t>
      </w:r>
      <w:r>
        <w:rPr>
          <w:rFonts w:hint="eastAsia" w:ascii="Times New Roman" w:hAnsi="Times New Roman"/>
          <w:kern w:val="0"/>
          <w:sz w:val="21"/>
          <w:szCs w:val="21"/>
        </w:rPr>
        <w:t>，茉莉花茶8.5，黑茶1</w:t>
      </w:r>
      <w:r>
        <w:rPr>
          <w:rFonts w:ascii="Times New Roman" w:hAnsi="Times New Roman"/>
          <w:kern w:val="0"/>
          <w:sz w:val="21"/>
          <w:szCs w:val="21"/>
        </w:rPr>
        <w:t>2.0)</w:t>
      </w:r>
      <w:r>
        <w:rPr>
          <w:rFonts w:hint="eastAsia" w:ascii="Times New Roman" w:hAnsi="Times New Roman"/>
          <w:kern w:val="0"/>
          <w:sz w:val="21"/>
          <w:szCs w:val="21"/>
        </w:rPr>
        <w:t>；</w:t>
      </w:r>
      <w:r>
        <w:rPr>
          <w:rFonts w:ascii="Times New Roman" w:hAnsi="Times New Roman"/>
          <w:kern w:val="0"/>
          <w:sz w:val="21"/>
          <w:szCs w:val="21"/>
        </w:rPr>
        <w:t>DBS52/T 433</w:t>
      </w:r>
      <w:r>
        <w:rPr>
          <w:rFonts w:hint="eastAsia" w:ascii="Times New Roman" w:hAnsi="Times New Roman"/>
          <w:kern w:val="0"/>
          <w:sz w:val="21"/>
          <w:szCs w:val="21"/>
        </w:rPr>
        <w:t>-</w:t>
      </w:r>
      <w:r>
        <w:rPr>
          <w:rFonts w:ascii="Times New Roman" w:hAnsi="Times New Roman"/>
          <w:kern w:val="0"/>
          <w:sz w:val="21"/>
          <w:szCs w:val="21"/>
        </w:rPr>
        <w:t>2018</w:t>
      </w:r>
      <w:r>
        <w:rPr>
          <w:rFonts w:hint="eastAsia" w:ascii="Times New Roman" w:hAnsi="Times New Roman"/>
          <w:kern w:val="0"/>
          <w:sz w:val="21"/>
          <w:szCs w:val="21"/>
        </w:rPr>
        <w:t>《贵州省地方标准 都匀毛尖》对水分规定为≤</w:t>
      </w:r>
      <w:r>
        <w:rPr>
          <w:rFonts w:ascii="Times New Roman" w:hAnsi="Times New Roman"/>
          <w:kern w:val="0"/>
          <w:sz w:val="21"/>
          <w:szCs w:val="21"/>
        </w:rPr>
        <w:t>7</w:t>
      </w:r>
      <w:r>
        <w:rPr>
          <w:rFonts w:hint="eastAsia" w:ascii="Times New Roman" w:hAnsi="Times New Roman"/>
          <w:kern w:val="0"/>
          <w:sz w:val="21"/>
          <w:szCs w:val="21"/>
        </w:rPr>
        <w:t>.0%；</w:t>
      </w:r>
      <w:r>
        <w:rPr>
          <w:rFonts w:ascii="Times New Roman" w:hAnsi="Times New Roman"/>
          <w:kern w:val="0"/>
          <w:sz w:val="21"/>
          <w:szCs w:val="21"/>
        </w:rPr>
        <w:t>DBS52/ 002</w:t>
      </w:r>
      <w:r>
        <w:rPr>
          <w:rFonts w:hint="eastAsia" w:ascii="Times New Roman" w:hAnsi="Times New Roman"/>
          <w:kern w:val="0"/>
          <w:sz w:val="21"/>
          <w:szCs w:val="21"/>
        </w:rPr>
        <w:t>-</w:t>
      </w:r>
      <w:r>
        <w:rPr>
          <w:rFonts w:ascii="Times New Roman" w:hAnsi="Times New Roman"/>
          <w:kern w:val="0"/>
          <w:sz w:val="21"/>
          <w:szCs w:val="21"/>
        </w:rPr>
        <w:t>2014</w:t>
      </w:r>
      <w:r>
        <w:rPr>
          <w:rFonts w:hint="eastAsia" w:ascii="Times New Roman" w:hAnsi="Times New Roman"/>
          <w:kern w:val="0"/>
          <w:sz w:val="21"/>
          <w:szCs w:val="21"/>
        </w:rPr>
        <w:t>《贵州省地方标准 代用茶》对水分规定为≤</w:t>
      </w:r>
      <w:r>
        <w:rPr>
          <w:rFonts w:ascii="Times New Roman" w:hAnsi="Times New Roman"/>
          <w:kern w:val="0"/>
          <w:sz w:val="21"/>
          <w:szCs w:val="21"/>
        </w:rPr>
        <w:t>10</w:t>
      </w:r>
      <w:r>
        <w:rPr>
          <w:rFonts w:hint="eastAsia" w:ascii="Times New Roman" w:hAnsi="Times New Roman"/>
          <w:kern w:val="0"/>
          <w:sz w:val="21"/>
          <w:szCs w:val="21"/>
        </w:rPr>
        <w:t>.0%。因此，综合以上考量，本标准规定水分≤</w:t>
      </w:r>
      <w:r>
        <w:rPr>
          <w:rFonts w:ascii="Times New Roman" w:hAnsi="Times New Roman"/>
          <w:kern w:val="0"/>
          <w:sz w:val="21"/>
          <w:szCs w:val="21"/>
        </w:rPr>
        <w:t>10</w:t>
      </w:r>
      <w:r>
        <w:rPr>
          <w:rFonts w:hint="eastAsia" w:ascii="Times New Roman" w:hAnsi="Times New Roman"/>
          <w:kern w:val="0"/>
          <w:sz w:val="21"/>
          <w:szCs w:val="21"/>
        </w:rPr>
        <w:t>.0%。水分采用GB 5009.3-2016（第一法 直接干燥法）检测方法。</w:t>
      </w:r>
    </w:p>
    <w:p>
      <w:pPr>
        <w:pStyle w:val="11"/>
        <w:tabs>
          <w:tab w:val="center" w:pos="4201"/>
          <w:tab w:val="right" w:leader="dot" w:pos="9298"/>
        </w:tabs>
        <w:adjustRightInd w:val="0"/>
        <w:snapToGrid w:val="0"/>
        <w:spacing w:line="360" w:lineRule="auto"/>
        <w:ind w:firstLine="420" w:firstLineChars="0"/>
        <w:rPr>
          <w:rFonts w:ascii="Times New Roman" w:hAnsi="Times New Roman"/>
          <w:b/>
          <w:bCs/>
          <w:kern w:val="0"/>
          <w:sz w:val="21"/>
          <w:szCs w:val="21"/>
        </w:rPr>
      </w:pPr>
      <w:r>
        <w:rPr>
          <w:rFonts w:hint="eastAsia" w:ascii="Times New Roman" w:hAnsi="Times New Roman"/>
          <w:b/>
          <w:bCs/>
          <w:kern w:val="0"/>
          <w:sz w:val="21"/>
          <w:szCs w:val="21"/>
        </w:rPr>
        <w:t>（</w:t>
      </w:r>
      <w:r>
        <w:rPr>
          <w:rFonts w:ascii="Times New Roman" w:hAnsi="Times New Roman"/>
          <w:b/>
          <w:bCs/>
          <w:kern w:val="0"/>
          <w:sz w:val="21"/>
          <w:szCs w:val="21"/>
        </w:rPr>
        <w:t>2</w:t>
      </w:r>
      <w:r>
        <w:rPr>
          <w:rFonts w:hint="eastAsia" w:ascii="Times New Roman" w:hAnsi="Times New Roman"/>
          <w:b/>
          <w:bCs/>
          <w:kern w:val="0"/>
          <w:sz w:val="21"/>
          <w:szCs w:val="21"/>
        </w:rPr>
        <w:t>）粗多糖</w:t>
      </w:r>
    </w:p>
    <w:p>
      <w:pPr>
        <w:pStyle w:val="11"/>
        <w:tabs>
          <w:tab w:val="center" w:pos="4201"/>
          <w:tab w:val="right" w:leader="dot" w:pos="9298"/>
        </w:tabs>
        <w:adjustRightInd w:val="0"/>
        <w:snapToGrid w:val="0"/>
        <w:spacing w:line="360" w:lineRule="auto"/>
        <w:ind w:firstLine="420" w:firstLineChars="0"/>
        <w:rPr>
          <w:rFonts w:ascii="Times New Roman" w:hAnsi="Times New Roman"/>
          <w:sz w:val="21"/>
          <w:szCs w:val="21"/>
        </w:rPr>
      </w:pPr>
      <w:r>
        <w:rPr>
          <w:rFonts w:hint="eastAsia" w:ascii="Times New Roman" w:hAnsi="Times New Roman"/>
          <w:kern w:val="0"/>
          <w:sz w:val="21"/>
          <w:szCs w:val="21"/>
        </w:rPr>
        <w:t>贵州石斛叶</w:t>
      </w:r>
      <w:r>
        <w:rPr>
          <w:rFonts w:ascii="Times New Roman" w:hAnsi="Times New Roman"/>
          <w:kern w:val="0"/>
          <w:sz w:val="21"/>
          <w:szCs w:val="21"/>
        </w:rPr>
        <w:t>粗多糖</w:t>
      </w:r>
      <w:r>
        <w:rPr>
          <w:rFonts w:hint="eastAsia" w:ascii="Times New Roman" w:hAnsi="Times New Roman"/>
          <w:sz w:val="21"/>
          <w:szCs w:val="21"/>
        </w:rPr>
        <w:t>对食品安全无直接影响，但属于产品重要的特征性指标。在一定范围内，粗多糖含量的高低可在一定程度上反映贵州铁皮石斛叶的优劣。因此，粗多糖含量是判断产品质量的重要依据。</w:t>
      </w:r>
      <w:r>
        <w:rPr>
          <w:rFonts w:hint="eastAsia" w:ascii="Times New Roman" w:hAnsi="Times New Roman"/>
          <w:kern w:val="0"/>
          <w:sz w:val="21"/>
          <w:szCs w:val="21"/>
        </w:rPr>
        <w:t>对收集的2</w:t>
      </w:r>
      <w:r>
        <w:rPr>
          <w:rFonts w:ascii="Times New Roman" w:hAnsi="Times New Roman"/>
          <w:kern w:val="0"/>
          <w:sz w:val="21"/>
          <w:szCs w:val="21"/>
        </w:rPr>
        <w:t>1</w:t>
      </w:r>
      <w:r>
        <w:rPr>
          <w:rFonts w:hint="eastAsia" w:ascii="Times New Roman" w:hAnsi="Times New Roman"/>
          <w:kern w:val="0"/>
          <w:sz w:val="21"/>
          <w:szCs w:val="21"/>
        </w:rPr>
        <w:t>批样品粗多糖数据分析结果显示（表1</w:t>
      </w:r>
      <w:r>
        <w:rPr>
          <w:rFonts w:ascii="Times New Roman" w:hAnsi="Times New Roman"/>
          <w:kern w:val="0"/>
          <w:sz w:val="21"/>
          <w:szCs w:val="21"/>
        </w:rPr>
        <w:t xml:space="preserve"> </w:t>
      </w:r>
      <w:r>
        <w:rPr>
          <w:rFonts w:hint="eastAsia" w:ascii="Times New Roman" w:hAnsi="Times New Roman"/>
          <w:kern w:val="0"/>
          <w:sz w:val="21"/>
          <w:szCs w:val="21"/>
        </w:rPr>
        <w:t xml:space="preserve">粗多糖项），最小值为 </w:t>
      </w:r>
      <w:r>
        <w:rPr>
          <w:rFonts w:ascii="Times New Roman" w:hAnsi="Times New Roman"/>
          <w:kern w:val="0"/>
          <w:sz w:val="21"/>
          <w:szCs w:val="21"/>
        </w:rPr>
        <w:t>6.03</w:t>
      </w:r>
      <w:r>
        <w:rPr>
          <w:rFonts w:hint="eastAsia" w:ascii="Times New Roman" w:hAnsi="Times New Roman"/>
          <w:kern w:val="0"/>
          <w:sz w:val="21"/>
          <w:szCs w:val="21"/>
        </w:rPr>
        <w:t>%，最大值为</w:t>
      </w:r>
      <w:r>
        <w:rPr>
          <w:rFonts w:ascii="Times New Roman" w:hAnsi="Times New Roman"/>
          <w:kern w:val="0"/>
          <w:sz w:val="21"/>
          <w:szCs w:val="21"/>
        </w:rPr>
        <w:t>24.84</w:t>
      </w:r>
      <w:r>
        <w:rPr>
          <w:rFonts w:hint="eastAsia" w:ascii="Times New Roman" w:hAnsi="Times New Roman"/>
          <w:kern w:val="0"/>
          <w:sz w:val="21"/>
          <w:szCs w:val="21"/>
        </w:rPr>
        <w:t>%，平均值为</w:t>
      </w:r>
      <w:r>
        <w:rPr>
          <w:rFonts w:ascii="Times New Roman" w:hAnsi="Times New Roman" w:eastAsiaTheme="minorEastAsia"/>
          <w:kern w:val="0"/>
          <w:sz w:val="21"/>
          <w:szCs w:val="21"/>
        </w:rPr>
        <w:t>17.04</w:t>
      </w:r>
      <w:r>
        <w:rPr>
          <w:rFonts w:hint="eastAsia" w:ascii="Times New Roman" w:hAnsi="Times New Roman"/>
          <w:kern w:val="0"/>
          <w:sz w:val="21"/>
          <w:szCs w:val="21"/>
        </w:rPr>
        <w:t>%。</w:t>
      </w:r>
      <w:r>
        <w:rPr>
          <w:rFonts w:hint="eastAsia" w:ascii="Times New Roman" w:hAnsi="Times New Roman"/>
          <w:sz w:val="21"/>
          <w:szCs w:val="21"/>
        </w:rPr>
        <w:t>综合产品检测结果，本标准规定粗多糖≥</w:t>
      </w:r>
      <w:r>
        <w:rPr>
          <w:rFonts w:ascii="Times New Roman" w:hAnsi="Times New Roman"/>
          <w:sz w:val="21"/>
          <w:szCs w:val="21"/>
        </w:rPr>
        <w:t>6</w:t>
      </w:r>
      <w:r>
        <w:rPr>
          <w:rFonts w:hint="eastAsia" w:ascii="Times New Roman" w:hAnsi="Times New Roman"/>
          <w:sz w:val="21"/>
          <w:szCs w:val="21"/>
        </w:rPr>
        <w:t>.0</w:t>
      </w:r>
      <w:r>
        <w:rPr>
          <w:rFonts w:ascii="Times New Roman" w:hAnsi="Times New Roman"/>
          <w:sz w:val="21"/>
          <w:szCs w:val="21"/>
        </w:rPr>
        <w:t>%</w:t>
      </w:r>
      <w:r>
        <w:rPr>
          <w:rFonts w:hint="eastAsia" w:ascii="Times New Roman" w:hAnsi="Times New Roman"/>
          <w:sz w:val="21"/>
          <w:szCs w:val="21"/>
        </w:rPr>
        <w:t>。粗多糖采用《贵州铁皮石斛叶食品安全地方标准》中附录A-粗多糖的测定方法。</w:t>
      </w:r>
    </w:p>
    <w:p>
      <w:pPr>
        <w:ind w:left="437"/>
        <w:jc w:val="center"/>
        <w:rPr>
          <w:b/>
          <w:szCs w:val="21"/>
        </w:rPr>
      </w:pPr>
      <w:r>
        <w:rPr>
          <w:rFonts w:hint="eastAsia"/>
          <w:b/>
          <w:szCs w:val="21"/>
        </w:rPr>
        <w:t>表1</w:t>
      </w:r>
      <w:r>
        <w:rPr>
          <w:b/>
          <w:szCs w:val="21"/>
        </w:rPr>
        <w:t xml:space="preserve">  </w:t>
      </w:r>
      <w:r>
        <w:rPr>
          <w:rFonts w:hint="eastAsia"/>
          <w:b/>
          <w:szCs w:val="21"/>
        </w:rPr>
        <w:t>贵州</w:t>
      </w:r>
      <w:r>
        <w:rPr>
          <w:b/>
          <w:szCs w:val="21"/>
        </w:rPr>
        <w:t>21</w:t>
      </w:r>
      <w:r>
        <w:rPr>
          <w:rFonts w:hint="eastAsia"/>
          <w:b/>
          <w:szCs w:val="21"/>
        </w:rPr>
        <w:t>批铁皮石斛叶的理化数据统计分析</w:t>
      </w:r>
    </w:p>
    <w:tbl>
      <w:tblPr>
        <w:tblStyle w:val="6"/>
        <w:tblW w:w="3825"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23"/>
        <w:gridCol w:w="2279"/>
        <w:gridCol w:w="21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jc w:val="center"/>
        </w:trPr>
        <w:tc>
          <w:tcPr>
            <w:tcW w:w="1820" w:type="pct"/>
            <w:shd w:val="clear" w:color="auto" w:fill="auto"/>
            <w:noWrap/>
            <w:vAlign w:val="center"/>
          </w:tcPr>
          <w:p>
            <w:pPr>
              <w:widowControl/>
              <w:adjustRightInd w:val="0"/>
              <w:snapToGrid w:val="0"/>
              <w:jc w:val="center"/>
              <w:rPr>
                <w:rFonts w:eastAsiaTheme="minorEastAsia"/>
                <w:b/>
                <w:kern w:val="0"/>
                <w:szCs w:val="21"/>
              </w:rPr>
            </w:pPr>
            <w:r>
              <w:rPr>
                <w:rFonts w:eastAsiaTheme="minorEastAsia"/>
                <w:b/>
                <w:kern w:val="0"/>
                <w:szCs w:val="21"/>
              </w:rPr>
              <w:t>样品编号</w:t>
            </w:r>
          </w:p>
        </w:tc>
        <w:tc>
          <w:tcPr>
            <w:tcW w:w="1644" w:type="pct"/>
            <w:shd w:val="clear" w:color="auto" w:fill="auto"/>
            <w:noWrap/>
            <w:vAlign w:val="center"/>
          </w:tcPr>
          <w:p>
            <w:pPr>
              <w:widowControl/>
              <w:adjustRightInd w:val="0"/>
              <w:snapToGrid w:val="0"/>
              <w:jc w:val="center"/>
              <w:rPr>
                <w:rFonts w:eastAsiaTheme="minorEastAsia"/>
                <w:b/>
                <w:kern w:val="0"/>
                <w:szCs w:val="21"/>
              </w:rPr>
            </w:pPr>
            <w:r>
              <w:rPr>
                <w:rFonts w:eastAsiaTheme="minorEastAsia"/>
                <w:b/>
                <w:kern w:val="0"/>
                <w:szCs w:val="21"/>
              </w:rPr>
              <w:t>粗多糖（%）</w:t>
            </w:r>
          </w:p>
        </w:tc>
        <w:tc>
          <w:tcPr>
            <w:tcW w:w="1536" w:type="pct"/>
            <w:shd w:val="clear" w:color="auto" w:fill="auto"/>
            <w:noWrap/>
            <w:vAlign w:val="center"/>
          </w:tcPr>
          <w:p>
            <w:pPr>
              <w:widowControl/>
              <w:adjustRightInd w:val="0"/>
              <w:snapToGrid w:val="0"/>
              <w:jc w:val="center"/>
              <w:rPr>
                <w:rFonts w:eastAsiaTheme="minorEastAsia"/>
                <w:b/>
                <w:kern w:val="0"/>
                <w:szCs w:val="21"/>
              </w:rPr>
            </w:pPr>
            <w:r>
              <w:rPr>
                <w:rFonts w:eastAsiaTheme="minorEastAsia"/>
                <w:b/>
                <w:kern w:val="0"/>
                <w:szCs w:val="21"/>
              </w:rPr>
              <w:t>水分（%）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1820" w:type="pct"/>
            <w:shd w:val="clear" w:color="auto" w:fill="auto"/>
            <w:vAlign w:val="center"/>
          </w:tcPr>
          <w:p>
            <w:pPr>
              <w:widowControl/>
              <w:adjustRightInd w:val="0"/>
              <w:snapToGrid w:val="0"/>
              <w:jc w:val="center"/>
              <w:rPr>
                <w:rFonts w:eastAsiaTheme="minorEastAsia"/>
                <w:kern w:val="0"/>
                <w:szCs w:val="21"/>
              </w:rPr>
            </w:pPr>
            <w:r>
              <w:rPr>
                <w:rFonts w:eastAsiaTheme="minorEastAsia"/>
                <w:kern w:val="0"/>
                <w:szCs w:val="21"/>
              </w:rPr>
              <w:t>TPSH2019-25</w:t>
            </w:r>
          </w:p>
        </w:tc>
        <w:tc>
          <w:tcPr>
            <w:tcW w:w="1644" w:type="pct"/>
            <w:shd w:val="clear" w:color="auto" w:fill="auto"/>
            <w:noWrap/>
            <w:vAlign w:val="center"/>
          </w:tcPr>
          <w:p>
            <w:pPr>
              <w:widowControl/>
              <w:adjustRightInd w:val="0"/>
              <w:snapToGrid w:val="0"/>
              <w:jc w:val="center"/>
              <w:rPr>
                <w:rFonts w:eastAsiaTheme="minorEastAsia"/>
                <w:kern w:val="0"/>
                <w:szCs w:val="21"/>
              </w:rPr>
            </w:pPr>
            <w:r>
              <w:rPr>
                <w:rFonts w:eastAsiaTheme="minorEastAsia"/>
                <w:kern w:val="0"/>
                <w:szCs w:val="21"/>
              </w:rPr>
              <w:t>17 .25</w:t>
            </w:r>
          </w:p>
        </w:tc>
        <w:tc>
          <w:tcPr>
            <w:tcW w:w="1536" w:type="pct"/>
            <w:shd w:val="clear" w:color="auto" w:fill="auto"/>
            <w:noWrap/>
            <w:vAlign w:val="center"/>
          </w:tcPr>
          <w:p>
            <w:pPr>
              <w:widowControl/>
              <w:adjustRightInd w:val="0"/>
              <w:snapToGrid w:val="0"/>
              <w:jc w:val="center"/>
              <w:rPr>
                <w:rFonts w:eastAsiaTheme="minorEastAsia"/>
                <w:kern w:val="0"/>
                <w:szCs w:val="21"/>
              </w:rPr>
            </w:pPr>
            <w:r>
              <w:rPr>
                <w:rFonts w:eastAsiaTheme="minorEastAsia"/>
                <w:kern w:val="0"/>
                <w:szCs w:val="21"/>
              </w:rPr>
              <w:t xml:space="preserve">9.60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1820" w:type="pct"/>
            <w:shd w:val="clear" w:color="auto" w:fill="auto"/>
            <w:vAlign w:val="center"/>
          </w:tcPr>
          <w:p>
            <w:pPr>
              <w:widowControl/>
              <w:adjustRightInd w:val="0"/>
              <w:snapToGrid w:val="0"/>
              <w:jc w:val="center"/>
              <w:rPr>
                <w:rFonts w:eastAsiaTheme="minorEastAsia"/>
                <w:kern w:val="0"/>
                <w:szCs w:val="21"/>
              </w:rPr>
            </w:pPr>
            <w:r>
              <w:rPr>
                <w:rFonts w:eastAsiaTheme="minorEastAsia"/>
                <w:kern w:val="0"/>
                <w:szCs w:val="21"/>
              </w:rPr>
              <w:t>TPSH2019-26</w:t>
            </w:r>
          </w:p>
        </w:tc>
        <w:tc>
          <w:tcPr>
            <w:tcW w:w="1644" w:type="pct"/>
            <w:shd w:val="clear" w:color="auto" w:fill="auto"/>
            <w:noWrap/>
            <w:vAlign w:val="center"/>
          </w:tcPr>
          <w:p>
            <w:pPr>
              <w:widowControl/>
              <w:adjustRightInd w:val="0"/>
              <w:snapToGrid w:val="0"/>
              <w:jc w:val="center"/>
              <w:rPr>
                <w:rFonts w:eastAsiaTheme="minorEastAsia"/>
                <w:kern w:val="0"/>
                <w:szCs w:val="21"/>
              </w:rPr>
            </w:pPr>
            <w:r>
              <w:rPr>
                <w:rFonts w:eastAsiaTheme="minorEastAsia"/>
                <w:kern w:val="0"/>
                <w:szCs w:val="21"/>
              </w:rPr>
              <w:t xml:space="preserve">18.08 </w:t>
            </w:r>
          </w:p>
        </w:tc>
        <w:tc>
          <w:tcPr>
            <w:tcW w:w="1536" w:type="pct"/>
            <w:shd w:val="clear" w:color="auto" w:fill="auto"/>
            <w:noWrap/>
            <w:vAlign w:val="center"/>
          </w:tcPr>
          <w:p>
            <w:pPr>
              <w:widowControl/>
              <w:adjustRightInd w:val="0"/>
              <w:snapToGrid w:val="0"/>
              <w:jc w:val="center"/>
              <w:rPr>
                <w:rFonts w:eastAsiaTheme="minorEastAsia"/>
                <w:kern w:val="0"/>
                <w:szCs w:val="21"/>
              </w:rPr>
            </w:pPr>
            <w:r>
              <w:rPr>
                <w:rFonts w:eastAsiaTheme="minorEastAsia"/>
                <w:kern w:val="0"/>
                <w:szCs w:val="21"/>
              </w:rPr>
              <w:t xml:space="preserve">10.90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1820" w:type="pct"/>
            <w:shd w:val="clear" w:color="auto" w:fill="auto"/>
            <w:vAlign w:val="center"/>
          </w:tcPr>
          <w:p>
            <w:pPr>
              <w:widowControl/>
              <w:adjustRightInd w:val="0"/>
              <w:snapToGrid w:val="0"/>
              <w:jc w:val="center"/>
              <w:rPr>
                <w:rFonts w:eastAsiaTheme="minorEastAsia"/>
                <w:kern w:val="0"/>
                <w:szCs w:val="21"/>
              </w:rPr>
            </w:pPr>
            <w:r>
              <w:rPr>
                <w:rFonts w:eastAsiaTheme="minorEastAsia"/>
                <w:kern w:val="0"/>
                <w:szCs w:val="21"/>
              </w:rPr>
              <w:t>TPSH2019-27</w:t>
            </w:r>
          </w:p>
        </w:tc>
        <w:tc>
          <w:tcPr>
            <w:tcW w:w="1644" w:type="pct"/>
            <w:shd w:val="clear" w:color="auto" w:fill="auto"/>
            <w:noWrap/>
            <w:vAlign w:val="center"/>
          </w:tcPr>
          <w:p>
            <w:pPr>
              <w:widowControl/>
              <w:adjustRightInd w:val="0"/>
              <w:snapToGrid w:val="0"/>
              <w:jc w:val="center"/>
              <w:rPr>
                <w:rFonts w:eastAsiaTheme="minorEastAsia"/>
                <w:kern w:val="0"/>
                <w:szCs w:val="21"/>
              </w:rPr>
            </w:pPr>
            <w:r>
              <w:rPr>
                <w:rFonts w:eastAsiaTheme="minorEastAsia"/>
                <w:kern w:val="0"/>
                <w:szCs w:val="21"/>
              </w:rPr>
              <w:t xml:space="preserve">17.82 </w:t>
            </w:r>
          </w:p>
        </w:tc>
        <w:tc>
          <w:tcPr>
            <w:tcW w:w="1536" w:type="pct"/>
            <w:shd w:val="clear" w:color="auto" w:fill="auto"/>
            <w:noWrap/>
            <w:vAlign w:val="center"/>
          </w:tcPr>
          <w:p>
            <w:pPr>
              <w:widowControl/>
              <w:adjustRightInd w:val="0"/>
              <w:snapToGrid w:val="0"/>
              <w:jc w:val="center"/>
              <w:rPr>
                <w:rFonts w:eastAsiaTheme="minorEastAsia"/>
                <w:kern w:val="0"/>
                <w:szCs w:val="21"/>
              </w:rPr>
            </w:pPr>
            <w:r>
              <w:rPr>
                <w:rFonts w:eastAsiaTheme="minorEastAsia"/>
                <w:kern w:val="0"/>
                <w:szCs w:val="21"/>
              </w:rPr>
              <w:t xml:space="preserve">13.00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1820" w:type="pct"/>
            <w:shd w:val="clear" w:color="auto" w:fill="auto"/>
            <w:vAlign w:val="center"/>
          </w:tcPr>
          <w:p>
            <w:pPr>
              <w:widowControl/>
              <w:adjustRightInd w:val="0"/>
              <w:snapToGrid w:val="0"/>
              <w:jc w:val="center"/>
              <w:rPr>
                <w:rFonts w:eastAsiaTheme="minorEastAsia"/>
                <w:kern w:val="0"/>
                <w:szCs w:val="21"/>
              </w:rPr>
            </w:pPr>
            <w:r>
              <w:rPr>
                <w:rFonts w:eastAsiaTheme="minorEastAsia"/>
                <w:kern w:val="0"/>
                <w:szCs w:val="21"/>
              </w:rPr>
              <w:t>TPSH2019-28</w:t>
            </w:r>
          </w:p>
        </w:tc>
        <w:tc>
          <w:tcPr>
            <w:tcW w:w="1644" w:type="pct"/>
            <w:shd w:val="clear" w:color="auto" w:fill="auto"/>
            <w:noWrap/>
            <w:vAlign w:val="center"/>
          </w:tcPr>
          <w:p>
            <w:pPr>
              <w:widowControl/>
              <w:adjustRightInd w:val="0"/>
              <w:snapToGrid w:val="0"/>
              <w:jc w:val="center"/>
              <w:rPr>
                <w:rFonts w:eastAsiaTheme="minorEastAsia"/>
                <w:kern w:val="0"/>
                <w:szCs w:val="21"/>
              </w:rPr>
            </w:pPr>
            <w:r>
              <w:rPr>
                <w:rFonts w:eastAsiaTheme="minorEastAsia"/>
                <w:kern w:val="0"/>
                <w:szCs w:val="21"/>
              </w:rPr>
              <w:t xml:space="preserve">20.73 </w:t>
            </w:r>
          </w:p>
        </w:tc>
        <w:tc>
          <w:tcPr>
            <w:tcW w:w="1536" w:type="pct"/>
            <w:shd w:val="clear" w:color="auto" w:fill="auto"/>
            <w:noWrap/>
            <w:vAlign w:val="center"/>
          </w:tcPr>
          <w:p>
            <w:pPr>
              <w:widowControl/>
              <w:adjustRightInd w:val="0"/>
              <w:snapToGrid w:val="0"/>
              <w:jc w:val="center"/>
              <w:rPr>
                <w:rFonts w:eastAsiaTheme="minorEastAsia"/>
                <w:kern w:val="0"/>
                <w:szCs w:val="21"/>
              </w:rPr>
            </w:pPr>
            <w:r>
              <w:rPr>
                <w:rFonts w:eastAsiaTheme="minorEastAsia"/>
                <w:kern w:val="0"/>
                <w:szCs w:val="21"/>
              </w:rPr>
              <w:t xml:space="preserve">5.85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1820" w:type="pct"/>
            <w:shd w:val="clear" w:color="auto" w:fill="auto"/>
            <w:vAlign w:val="center"/>
          </w:tcPr>
          <w:p>
            <w:pPr>
              <w:widowControl/>
              <w:adjustRightInd w:val="0"/>
              <w:snapToGrid w:val="0"/>
              <w:jc w:val="center"/>
              <w:rPr>
                <w:rFonts w:eastAsiaTheme="minorEastAsia"/>
                <w:kern w:val="0"/>
                <w:szCs w:val="21"/>
              </w:rPr>
            </w:pPr>
            <w:r>
              <w:rPr>
                <w:rFonts w:eastAsiaTheme="minorEastAsia"/>
                <w:kern w:val="0"/>
                <w:szCs w:val="21"/>
              </w:rPr>
              <w:t>TPSH2019-29</w:t>
            </w:r>
          </w:p>
        </w:tc>
        <w:tc>
          <w:tcPr>
            <w:tcW w:w="1644" w:type="pct"/>
            <w:shd w:val="clear" w:color="auto" w:fill="auto"/>
            <w:noWrap/>
            <w:vAlign w:val="center"/>
          </w:tcPr>
          <w:p>
            <w:pPr>
              <w:widowControl/>
              <w:adjustRightInd w:val="0"/>
              <w:snapToGrid w:val="0"/>
              <w:jc w:val="center"/>
              <w:rPr>
                <w:rFonts w:eastAsiaTheme="minorEastAsia"/>
                <w:kern w:val="0"/>
                <w:szCs w:val="21"/>
              </w:rPr>
            </w:pPr>
            <w:r>
              <w:rPr>
                <w:rFonts w:eastAsiaTheme="minorEastAsia"/>
                <w:kern w:val="0"/>
                <w:szCs w:val="21"/>
              </w:rPr>
              <w:t xml:space="preserve">18.53 </w:t>
            </w:r>
          </w:p>
        </w:tc>
        <w:tc>
          <w:tcPr>
            <w:tcW w:w="1536" w:type="pct"/>
            <w:shd w:val="clear" w:color="auto" w:fill="auto"/>
            <w:noWrap/>
            <w:vAlign w:val="center"/>
          </w:tcPr>
          <w:p>
            <w:pPr>
              <w:widowControl/>
              <w:adjustRightInd w:val="0"/>
              <w:snapToGrid w:val="0"/>
              <w:jc w:val="center"/>
              <w:rPr>
                <w:rFonts w:eastAsiaTheme="minorEastAsia"/>
                <w:kern w:val="0"/>
                <w:szCs w:val="21"/>
              </w:rPr>
            </w:pPr>
            <w:r>
              <w:rPr>
                <w:rFonts w:eastAsiaTheme="minorEastAsia"/>
                <w:kern w:val="0"/>
                <w:szCs w:val="21"/>
              </w:rPr>
              <w:t xml:space="preserve">8.67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1820" w:type="pct"/>
            <w:shd w:val="clear" w:color="auto" w:fill="auto"/>
            <w:vAlign w:val="center"/>
          </w:tcPr>
          <w:p>
            <w:pPr>
              <w:widowControl/>
              <w:adjustRightInd w:val="0"/>
              <w:snapToGrid w:val="0"/>
              <w:jc w:val="center"/>
              <w:rPr>
                <w:rFonts w:eastAsiaTheme="minorEastAsia"/>
                <w:kern w:val="0"/>
                <w:szCs w:val="21"/>
              </w:rPr>
            </w:pPr>
            <w:r>
              <w:rPr>
                <w:rFonts w:eastAsiaTheme="minorEastAsia"/>
                <w:kern w:val="0"/>
                <w:szCs w:val="21"/>
              </w:rPr>
              <w:t>TPSH2019-30</w:t>
            </w:r>
          </w:p>
        </w:tc>
        <w:tc>
          <w:tcPr>
            <w:tcW w:w="1644" w:type="pct"/>
            <w:shd w:val="clear" w:color="auto" w:fill="auto"/>
            <w:noWrap/>
            <w:vAlign w:val="center"/>
          </w:tcPr>
          <w:p>
            <w:pPr>
              <w:widowControl/>
              <w:adjustRightInd w:val="0"/>
              <w:snapToGrid w:val="0"/>
              <w:jc w:val="center"/>
              <w:rPr>
                <w:rFonts w:eastAsiaTheme="minorEastAsia"/>
                <w:kern w:val="0"/>
                <w:szCs w:val="21"/>
              </w:rPr>
            </w:pPr>
            <w:r>
              <w:rPr>
                <w:rFonts w:eastAsiaTheme="minorEastAsia"/>
                <w:kern w:val="0"/>
                <w:szCs w:val="21"/>
              </w:rPr>
              <w:t xml:space="preserve">14.48 </w:t>
            </w:r>
          </w:p>
        </w:tc>
        <w:tc>
          <w:tcPr>
            <w:tcW w:w="1536" w:type="pct"/>
            <w:shd w:val="clear" w:color="auto" w:fill="auto"/>
            <w:noWrap/>
            <w:vAlign w:val="center"/>
          </w:tcPr>
          <w:p>
            <w:pPr>
              <w:widowControl/>
              <w:adjustRightInd w:val="0"/>
              <w:snapToGrid w:val="0"/>
              <w:jc w:val="center"/>
              <w:rPr>
                <w:rFonts w:eastAsiaTheme="minorEastAsia"/>
                <w:kern w:val="0"/>
                <w:szCs w:val="21"/>
              </w:rPr>
            </w:pPr>
            <w:r>
              <w:rPr>
                <w:rFonts w:eastAsiaTheme="minorEastAsia"/>
                <w:kern w:val="0"/>
                <w:szCs w:val="21"/>
              </w:rPr>
              <w:t xml:space="preserve">11.30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1820" w:type="pct"/>
            <w:shd w:val="clear" w:color="auto" w:fill="auto"/>
            <w:vAlign w:val="center"/>
          </w:tcPr>
          <w:p>
            <w:pPr>
              <w:widowControl/>
              <w:adjustRightInd w:val="0"/>
              <w:snapToGrid w:val="0"/>
              <w:jc w:val="center"/>
              <w:rPr>
                <w:rFonts w:eastAsiaTheme="minorEastAsia"/>
                <w:kern w:val="0"/>
                <w:szCs w:val="21"/>
              </w:rPr>
            </w:pPr>
            <w:r>
              <w:rPr>
                <w:rFonts w:eastAsiaTheme="minorEastAsia"/>
                <w:kern w:val="0"/>
                <w:szCs w:val="21"/>
              </w:rPr>
              <w:t>TPSH2019-32</w:t>
            </w:r>
          </w:p>
        </w:tc>
        <w:tc>
          <w:tcPr>
            <w:tcW w:w="1644" w:type="pct"/>
            <w:shd w:val="clear" w:color="auto" w:fill="auto"/>
            <w:noWrap/>
            <w:vAlign w:val="center"/>
          </w:tcPr>
          <w:p>
            <w:pPr>
              <w:widowControl/>
              <w:adjustRightInd w:val="0"/>
              <w:snapToGrid w:val="0"/>
              <w:jc w:val="center"/>
              <w:rPr>
                <w:rFonts w:eastAsiaTheme="minorEastAsia"/>
                <w:kern w:val="0"/>
                <w:szCs w:val="21"/>
              </w:rPr>
            </w:pPr>
            <w:r>
              <w:rPr>
                <w:rFonts w:eastAsiaTheme="minorEastAsia"/>
                <w:kern w:val="0"/>
                <w:szCs w:val="21"/>
              </w:rPr>
              <w:t xml:space="preserve">8.31 </w:t>
            </w:r>
          </w:p>
        </w:tc>
        <w:tc>
          <w:tcPr>
            <w:tcW w:w="1536" w:type="pct"/>
            <w:shd w:val="clear" w:color="auto" w:fill="auto"/>
            <w:noWrap/>
            <w:vAlign w:val="center"/>
          </w:tcPr>
          <w:p>
            <w:pPr>
              <w:widowControl/>
              <w:adjustRightInd w:val="0"/>
              <w:snapToGrid w:val="0"/>
              <w:jc w:val="center"/>
              <w:rPr>
                <w:rFonts w:eastAsiaTheme="minorEastAsia"/>
                <w:kern w:val="0"/>
                <w:szCs w:val="21"/>
              </w:rPr>
            </w:pPr>
            <w:r>
              <w:rPr>
                <w:rFonts w:eastAsiaTheme="minorEastAsia"/>
                <w:kern w:val="0"/>
                <w:szCs w:val="21"/>
              </w:rPr>
              <w:t xml:space="preserve">9.08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1820" w:type="pct"/>
            <w:shd w:val="clear" w:color="auto" w:fill="auto"/>
            <w:vAlign w:val="center"/>
          </w:tcPr>
          <w:p>
            <w:pPr>
              <w:widowControl/>
              <w:adjustRightInd w:val="0"/>
              <w:snapToGrid w:val="0"/>
              <w:jc w:val="center"/>
              <w:rPr>
                <w:rFonts w:eastAsiaTheme="minorEastAsia"/>
                <w:kern w:val="0"/>
                <w:szCs w:val="21"/>
              </w:rPr>
            </w:pPr>
            <w:r>
              <w:rPr>
                <w:rFonts w:eastAsiaTheme="minorEastAsia"/>
                <w:kern w:val="0"/>
                <w:szCs w:val="21"/>
              </w:rPr>
              <w:t>TPSH2019-33</w:t>
            </w:r>
          </w:p>
        </w:tc>
        <w:tc>
          <w:tcPr>
            <w:tcW w:w="1644" w:type="pct"/>
            <w:shd w:val="clear" w:color="auto" w:fill="auto"/>
            <w:noWrap/>
            <w:vAlign w:val="center"/>
          </w:tcPr>
          <w:p>
            <w:pPr>
              <w:widowControl/>
              <w:adjustRightInd w:val="0"/>
              <w:snapToGrid w:val="0"/>
              <w:jc w:val="center"/>
              <w:rPr>
                <w:rFonts w:eastAsiaTheme="minorEastAsia"/>
                <w:kern w:val="0"/>
                <w:szCs w:val="21"/>
              </w:rPr>
            </w:pPr>
            <w:r>
              <w:rPr>
                <w:rFonts w:eastAsiaTheme="minorEastAsia"/>
                <w:kern w:val="0"/>
                <w:szCs w:val="21"/>
              </w:rPr>
              <w:t xml:space="preserve">24.84 </w:t>
            </w:r>
          </w:p>
        </w:tc>
        <w:tc>
          <w:tcPr>
            <w:tcW w:w="1536" w:type="pct"/>
            <w:shd w:val="clear" w:color="auto" w:fill="auto"/>
            <w:noWrap/>
            <w:vAlign w:val="center"/>
          </w:tcPr>
          <w:p>
            <w:pPr>
              <w:widowControl/>
              <w:adjustRightInd w:val="0"/>
              <w:snapToGrid w:val="0"/>
              <w:jc w:val="center"/>
              <w:rPr>
                <w:rFonts w:eastAsiaTheme="minorEastAsia"/>
                <w:kern w:val="0"/>
                <w:szCs w:val="21"/>
              </w:rPr>
            </w:pPr>
            <w:r>
              <w:rPr>
                <w:rFonts w:eastAsiaTheme="minorEastAsia"/>
                <w:kern w:val="0"/>
                <w:szCs w:val="21"/>
              </w:rPr>
              <w:t xml:space="preserve">9.71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jc w:val="center"/>
        </w:trPr>
        <w:tc>
          <w:tcPr>
            <w:tcW w:w="1820" w:type="pct"/>
            <w:shd w:val="clear" w:color="auto" w:fill="auto"/>
            <w:vAlign w:val="center"/>
          </w:tcPr>
          <w:p>
            <w:pPr>
              <w:widowControl/>
              <w:adjustRightInd w:val="0"/>
              <w:snapToGrid w:val="0"/>
              <w:jc w:val="center"/>
              <w:rPr>
                <w:rFonts w:eastAsiaTheme="minorEastAsia"/>
                <w:kern w:val="0"/>
                <w:szCs w:val="21"/>
              </w:rPr>
            </w:pPr>
            <w:r>
              <w:rPr>
                <w:rFonts w:eastAsiaTheme="minorEastAsia"/>
                <w:kern w:val="0"/>
                <w:szCs w:val="21"/>
              </w:rPr>
              <w:t>TPSH2019-34</w:t>
            </w:r>
          </w:p>
        </w:tc>
        <w:tc>
          <w:tcPr>
            <w:tcW w:w="1644" w:type="pct"/>
            <w:shd w:val="clear" w:color="auto" w:fill="auto"/>
            <w:noWrap/>
            <w:vAlign w:val="center"/>
          </w:tcPr>
          <w:p>
            <w:pPr>
              <w:widowControl/>
              <w:adjustRightInd w:val="0"/>
              <w:snapToGrid w:val="0"/>
              <w:jc w:val="center"/>
              <w:rPr>
                <w:rFonts w:eastAsiaTheme="minorEastAsia"/>
                <w:kern w:val="0"/>
                <w:szCs w:val="21"/>
              </w:rPr>
            </w:pPr>
            <w:r>
              <w:rPr>
                <w:rFonts w:eastAsiaTheme="minorEastAsia"/>
                <w:kern w:val="0"/>
                <w:szCs w:val="21"/>
              </w:rPr>
              <w:t xml:space="preserve">10.10 </w:t>
            </w:r>
          </w:p>
        </w:tc>
        <w:tc>
          <w:tcPr>
            <w:tcW w:w="1536" w:type="pct"/>
            <w:shd w:val="clear" w:color="auto" w:fill="auto"/>
            <w:noWrap/>
            <w:vAlign w:val="center"/>
          </w:tcPr>
          <w:p>
            <w:pPr>
              <w:widowControl/>
              <w:adjustRightInd w:val="0"/>
              <w:snapToGrid w:val="0"/>
              <w:jc w:val="center"/>
              <w:rPr>
                <w:rFonts w:eastAsiaTheme="minorEastAsia"/>
                <w:kern w:val="0"/>
                <w:szCs w:val="21"/>
              </w:rPr>
            </w:pPr>
            <w:r>
              <w:rPr>
                <w:rFonts w:eastAsiaTheme="minorEastAsia"/>
                <w:kern w:val="0"/>
                <w:szCs w:val="21"/>
              </w:rPr>
              <w:t xml:space="preserve">8.34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1820" w:type="pct"/>
            <w:shd w:val="clear" w:color="auto" w:fill="auto"/>
            <w:vAlign w:val="center"/>
          </w:tcPr>
          <w:p>
            <w:pPr>
              <w:widowControl/>
              <w:adjustRightInd w:val="0"/>
              <w:snapToGrid w:val="0"/>
              <w:jc w:val="center"/>
              <w:rPr>
                <w:rFonts w:eastAsiaTheme="minorEastAsia"/>
                <w:kern w:val="0"/>
                <w:szCs w:val="21"/>
              </w:rPr>
            </w:pPr>
            <w:r>
              <w:rPr>
                <w:rFonts w:eastAsiaTheme="minorEastAsia"/>
                <w:kern w:val="0"/>
                <w:szCs w:val="21"/>
              </w:rPr>
              <w:t>TPSH2019-35</w:t>
            </w:r>
          </w:p>
        </w:tc>
        <w:tc>
          <w:tcPr>
            <w:tcW w:w="1644" w:type="pct"/>
            <w:shd w:val="clear" w:color="auto" w:fill="auto"/>
            <w:noWrap/>
            <w:vAlign w:val="center"/>
          </w:tcPr>
          <w:p>
            <w:pPr>
              <w:widowControl/>
              <w:adjustRightInd w:val="0"/>
              <w:snapToGrid w:val="0"/>
              <w:jc w:val="center"/>
              <w:rPr>
                <w:rFonts w:eastAsiaTheme="minorEastAsia"/>
                <w:kern w:val="0"/>
                <w:szCs w:val="21"/>
              </w:rPr>
            </w:pPr>
            <w:r>
              <w:rPr>
                <w:rFonts w:eastAsiaTheme="minorEastAsia"/>
                <w:kern w:val="0"/>
                <w:szCs w:val="21"/>
              </w:rPr>
              <w:t xml:space="preserve">21.84 </w:t>
            </w:r>
          </w:p>
        </w:tc>
        <w:tc>
          <w:tcPr>
            <w:tcW w:w="1536" w:type="pct"/>
            <w:shd w:val="clear" w:color="auto" w:fill="auto"/>
            <w:noWrap/>
            <w:vAlign w:val="center"/>
          </w:tcPr>
          <w:p>
            <w:pPr>
              <w:widowControl/>
              <w:adjustRightInd w:val="0"/>
              <w:snapToGrid w:val="0"/>
              <w:jc w:val="center"/>
              <w:rPr>
                <w:rFonts w:eastAsiaTheme="minorEastAsia"/>
                <w:kern w:val="0"/>
                <w:szCs w:val="21"/>
              </w:rPr>
            </w:pPr>
            <w:r>
              <w:rPr>
                <w:rFonts w:eastAsiaTheme="minorEastAsia"/>
                <w:kern w:val="0"/>
                <w:szCs w:val="21"/>
              </w:rPr>
              <w:t xml:space="preserve">8.97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jc w:val="center"/>
        </w:trPr>
        <w:tc>
          <w:tcPr>
            <w:tcW w:w="1820" w:type="pct"/>
            <w:shd w:val="clear" w:color="auto" w:fill="auto"/>
            <w:vAlign w:val="center"/>
          </w:tcPr>
          <w:p>
            <w:pPr>
              <w:widowControl/>
              <w:adjustRightInd w:val="0"/>
              <w:snapToGrid w:val="0"/>
              <w:jc w:val="center"/>
              <w:rPr>
                <w:rFonts w:eastAsiaTheme="minorEastAsia"/>
                <w:kern w:val="0"/>
                <w:szCs w:val="21"/>
              </w:rPr>
            </w:pPr>
            <w:r>
              <w:rPr>
                <w:rFonts w:eastAsiaTheme="minorEastAsia"/>
                <w:kern w:val="0"/>
                <w:szCs w:val="21"/>
              </w:rPr>
              <w:t>TPSH2019-36</w:t>
            </w:r>
          </w:p>
        </w:tc>
        <w:tc>
          <w:tcPr>
            <w:tcW w:w="1644" w:type="pct"/>
            <w:shd w:val="clear" w:color="auto" w:fill="auto"/>
            <w:noWrap/>
            <w:vAlign w:val="center"/>
          </w:tcPr>
          <w:p>
            <w:pPr>
              <w:widowControl/>
              <w:adjustRightInd w:val="0"/>
              <w:snapToGrid w:val="0"/>
              <w:jc w:val="center"/>
              <w:rPr>
                <w:rFonts w:eastAsiaTheme="minorEastAsia"/>
                <w:kern w:val="0"/>
                <w:szCs w:val="21"/>
              </w:rPr>
            </w:pPr>
            <w:r>
              <w:rPr>
                <w:rFonts w:eastAsiaTheme="minorEastAsia"/>
                <w:kern w:val="0"/>
                <w:szCs w:val="21"/>
              </w:rPr>
              <w:t xml:space="preserve">18.19 </w:t>
            </w:r>
          </w:p>
        </w:tc>
        <w:tc>
          <w:tcPr>
            <w:tcW w:w="1536" w:type="pct"/>
            <w:shd w:val="clear" w:color="auto" w:fill="auto"/>
            <w:noWrap/>
            <w:vAlign w:val="center"/>
          </w:tcPr>
          <w:p>
            <w:pPr>
              <w:widowControl/>
              <w:adjustRightInd w:val="0"/>
              <w:snapToGrid w:val="0"/>
              <w:jc w:val="center"/>
              <w:rPr>
                <w:rFonts w:eastAsiaTheme="minorEastAsia"/>
                <w:kern w:val="0"/>
                <w:szCs w:val="21"/>
              </w:rPr>
            </w:pPr>
            <w:r>
              <w:rPr>
                <w:rFonts w:eastAsiaTheme="minorEastAsia"/>
                <w:kern w:val="0"/>
                <w:szCs w:val="21"/>
              </w:rPr>
              <w:t xml:space="preserve">9.80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5" w:hRule="atLeast"/>
          <w:jc w:val="center"/>
        </w:trPr>
        <w:tc>
          <w:tcPr>
            <w:tcW w:w="1820" w:type="pct"/>
            <w:shd w:val="clear" w:color="auto" w:fill="auto"/>
            <w:vAlign w:val="center"/>
          </w:tcPr>
          <w:p>
            <w:pPr>
              <w:widowControl/>
              <w:adjustRightInd w:val="0"/>
              <w:snapToGrid w:val="0"/>
              <w:jc w:val="center"/>
              <w:rPr>
                <w:rFonts w:eastAsiaTheme="minorEastAsia"/>
                <w:kern w:val="0"/>
                <w:szCs w:val="21"/>
              </w:rPr>
            </w:pPr>
            <w:r>
              <w:rPr>
                <w:rFonts w:eastAsiaTheme="minorEastAsia"/>
                <w:kern w:val="0"/>
                <w:szCs w:val="21"/>
              </w:rPr>
              <w:t>TPSH2019-37</w:t>
            </w:r>
          </w:p>
        </w:tc>
        <w:tc>
          <w:tcPr>
            <w:tcW w:w="1644" w:type="pct"/>
            <w:shd w:val="clear" w:color="auto" w:fill="auto"/>
            <w:noWrap/>
            <w:vAlign w:val="center"/>
          </w:tcPr>
          <w:p>
            <w:pPr>
              <w:widowControl/>
              <w:adjustRightInd w:val="0"/>
              <w:snapToGrid w:val="0"/>
              <w:jc w:val="center"/>
              <w:rPr>
                <w:rFonts w:eastAsiaTheme="minorEastAsia"/>
                <w:kern w:val="0"/>
                <w:szCs w:val="21"/>
              </w:rPr>
            </w:pPr>
            <w:r>
              <w:rPr>
                <w:rFonts w:eastAsiaTheme="minorEastAsia"/>
                <w:kern w:val="0"/>
                <w:szCs w:val="21"/>
              </w:rPr>
              <w:t xml:space="preserve">16.63 </w:t>
            </w:r>
          </w:p>
        </w:tc>
        <w:tc>
          <w:tcPr>
            <w:tcW w:w="1536" w:type="pct"/>
            <w:shd w:val="clear" w:color="auto" w:fill="auto"/>
            <w:noWrap/>
            <w:vAlign w:val="center"/>
          </w:tcPr>
          <w:p>
            <w:pPr>
              <w:widowControl/>
              <w:adjustRightInd w:val="0"/>
              <w:snapToGrid w:val="0"/>
              <w:jc w:val="center"/>
              <w:rPr>
                <w:rFonts w:eastAsiaTheme="minorEastAsia"/>
                <w:kern w:val="0"/>
                <w:szCs w:val="21"/>
              </w:rPr>
            </w:pPr>
            <w:r>
              <w:rPr>
                <w:rFonts w:eastAsiaTheme="minorEastAsia"/>
                <w:kern w:val="0"/>
                <w:szCs w:val="21"/>
              </w:rPr>
              <w:t xml:space="preserve">11.60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5" w:hRule="atLeast"/>
          <w:jc w:val="center"/>
        </w:trPr>
        <w:tc>
          <w:tcPr>
            <w:tcW w:w="1820" w:type="pct"/>
            <w:shd w:val="clear" w:color="auto" w:fill="auto"/>
            <w:vAlign w:val="center"/>
          </w:tcPr>
          <w:p>
            <w:pPr>
              <w:widowControl/>
              <w:adjustRightInd w:val="0"/>
              <w:snapToGrid w:val="0"/>
              <w:jc w:val="center"/>
              <w:rPr>
                <w:rFonts w:eastAsiaTheme="minorEastAsia"/>
                <w:kern w:val="0"/>
                <w:szCs w:val="21"/>
              </w:rPr>
            </w:pPr>
            <w:r>
              <w:rPr>
                <w:rFonts w:eastAsiaTheme="minorEastAsia"/>
                <w:kern w:val="0"/>
                <w:szCs w:val="21"/>
              </w:rPr>
              <w:t>TPSH2019-38</w:t>
            </w:r>
          </w:p>
        </w:tc>
        <w:tc>
          <w:tcPr>
            <w:tcW w:w="1644" w:type="pct"/>
            <w:shd w:val="clear" w:color="auto" w:fill="auto"/>
            <w:noWrap/>
            <w:vAlign w:val="center"/>
          </w:tcPr>
          <w:p>
            <w:pPr>
              <w:widowControl/>
              <w:adjustRightInd w:val="0"/>
              <w:snapToGrid w:val="0"/>
              <w:jc w:val="center"/>
              <w:rPr>
                <w:rFonts w:eastAsiaTheme="minorEastAsia"/>
                <w:kern w:val="0"/>
                <w:szCs w:val="21"/>
              </w:rPr>
            </w:pPr>
            <w:r>
              <w:rPr>
                <w:rFonts w:eastAsiaTheme="minorEastAsia"/>
                <w:kern w:val="0"/>
                <w:szCs w:val="21"/>
              </w:rPr>
              <w:t xml:space="preserve">6.03 </w:t>
            </w:r>
          </w:p>
        </w:tc>
        <w:tc>
          <w:tcPr>
            <w:tcW w:w="1536" w:type="pct"/>
            <w:shd w:val="clear" w:color="auto" w:fill="auto"/>
            <w:noWrap/>
            <w:vAlign w:val="center"/>
          </w:tcPr>
          <w:p>
            <w:pPr>
              <w:widowControl/>
              <w:adjustRightInd w:val="0"/>
              <w:snapToGrid w:val="0"/>
              <w:jc w:val="center"/>
              <w:rPr>
                <w:rFonts w:eastAsiaTheme="minorEastAsia"/>
                <w:kern w:val="0"/>
                <w:szCs w:val="21"/>
              </w:rPr>
            </w:pPr>
            <w:r>
              <w:rPr>
                <w:rFonts w:eastAsiaTheme="minorEastAsia"/>
                <w:kern w:val="0"/>
                <w:szCs w:val="21"/>
              </w:rPr>
              <w:t xml:space="preserve">10.10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5" w:hRule="atLeast"/>
          <w:jc w:val="center"/>
        </w:trPr>
        <w:tc>
          <w:tcPr>
            <w:tcW w:w="1820" w:type="pct"/>
            <w:shd w:val="clear" w:color="auto" w:fill="auto"/>
            <w:vAlign w:val="center"/>
          </w:tcPr>
          <w:p>
            <w:pPr>
              <w:widowControl/>
              <w:adjustRightInd w:val="0"/>
              <w:snapToGrid w:val="0"/>
              <w:jc w:val="center"/>
              <w:rPr>
                <w:rFonts w:eastAsiaTheme="minorEastAsia"/>
                <w:kern w:val="0"/>
                <w:szCs w:val="21"/>
              </w:rPr>
            </w:pPr>
            <w:r>
              <w:rPr>
                <w:rFonts w:eastAsiaTheme="minorEastAsia"/>
                <w:kern w:val="0"/>
                <w:szCs w:val="21"/>
              </w:rPr>
              <w:t>TPSH2019-39</w:t>
            </w:r>
          </w:p>
        </w:tc>
        <w:tc>
          <w:tcPr>
            <w:tcW w:w="1644" w:type="pct"/>
            <w:shd w:val="clear" w:color="auto" w:fill="auto"/>
            <w:noWrap/>
            <w:vAlign w:val="center"/>
          </w:tcPr>
          <w:p>
            <w:pPr>
              <w:widowControl/>
              <w:adjustRightInd w:val="0"/>
              <w:snapToGrid w:val="0"/>
              <w:jc w:val="center"/>
              <w:rPr>
                <w:rFonts w:eastAsiaTheme="minorEastAsia"/>
                <w:kern w:val="0"/>
                <w:szCs w:val="21"/>
              </w:rPr>
            </w:pPr>
            <w:r>
              <w:rPr>
                <w:rFonts w:eastAsiaTheme="minorEastAsia"/>
                <w:kern w:val="0"/>
                <w:szCs w:val="21"/>
              </w:rPr>
              <w:t xml:space="preserve">22.41 </w:t>
            </w:r>
          </w:p>
        </w:tc>
        <w:tc>
          <w:tcPr>
            <w:tcW w:w="1536" w:type="pct"/>
            <w:shd w:val="clear" w:color="auto" w:fill="auto"/>
            <w:noWrap/>
            <w:vAlign w:val="center"/>
          </w:tcPr>
          <w:p>
            <w:pPr>
              <w:widowControl/>
              <w:adjustRightInd w:val="0"/>
              <w:snapToGrid w:val="0"/>
              <w:jc w:val="center"/>
              <w:rPr>
                <w:rFonts w:eastAsiaTheme="minorEastAsia"/>
                <w:kern w:val="0"/>
                <w:szCs w:val="21"/>
              </w:rPr>
            </w:pPr>
            <w:r>
              <w:rPr>
                <w:rFonts w:eastAsiaTheme="minorEastAsia"/>
                <w:kern w:val="0"/>
                <w:szCs w:val="21"/>
              </w:rPr>
              <w:t xml:space="preserve">12.40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jc w:val="center"/>
        </w:trPr>
        <w:tc>
          <w:tcPr>
            <w:tcW w:w="1820" w:type="pct"/>
            <w:shd w:val="clear" w:color="auto" w:fill="auto"/>
            <w:vAlign w:val="center"/>
          </w:tcPr>
          <w:p>
            <w:pPr>
              <w:widowControl/>
              <w:adjustRightInd w:val="0"/>
              <w:snapToGrid w:val="0"/>
              <w:jc w:val="center"/>
              <w:rPr>
                <w:rFonts w:eastAsiaTheme="minorEastAsia"/>
                <w:kern w:val="0"/>
                <w:szCs w:val="21"/>
              </w:rPr>
            </w:pPr>
            <w:r>
              <w:rPr>
                <w:rFonts w:eastAsiaTheme="minorEastAsia"/>
                <w:kern w:val="0"/>
                <w:szCs w:val="21"/>
              </w:rPr>
              <w:t>TPSH2019-41</w:t>
            </w:r>
          </w:p>
        </w:tc>
        <w:tc>
          <w:tcPr>
            <w:tcW w:w="1644" w:type="pct"/>
            <w:shd w:val="clear" w:color="auto" w:fill="auto"/>
            <w:noWrap/>
            <w:vAlign w:val="center"/>
          </w:tcPr>
          <w:p>
            <w:pPr>
              <w:widowControl/>
              <w:adjustRightInd w:val="0"/>
              <w:snapToGrid w:val="0"/>
              <w:jc w:val="center"/>
              <w:rPr>
                <w:rFonts w:eastAsiaTheme="minorEastAsia"/>
                <w:kern w:val="0"/>
                <w:szCs w:val="21"/>
              </w:rPr>
            </w:pPr>
            <w:r>
              <w:rPr>
                <w:rFonts w:eastAsiaTheme="minorEastAsia"/>
                <w:kern w:val="0"/>
                <w:szCs w:val="21"/>
              </w:rPr>
              <w:t xml:space="preserve">19.29 </w:t>
            </w:r>
          </w:p>
        </w:tc>
        <w:tc>
          <w:tcPr>
            <w:tcW w:w="1536" w:type="pct"/>
            <w:shd w:val="clear" w:color="auto" w:fill="auto"/>
            <w:noWrap/>
            <w:vAlign w:val="center"/>
          </w:tcPr>
          <w:p>
            <w:pPr>
              <w:widowControl/>
              <w:adjustRightInd w:val="0"/>
              <w:snapToGrid w:val="0"/>
              <w:jc w:val="center"/>
              <w:rPr>
                <w:rFonts w:eastAsiaTheme="minorEastAsia"/>
                <w:kern w:val="0"/>
                <w:szCs w:val="21"/>
              </w:rPr>
            </w:pPr>
            <w:r>
              <w:rPr>
                <w:rFonts w:eastAsiaTheme="minorEastAsia"/>
                <w:kern w:val="0"/>
                <w:szCs w:val="21"/>
              </w:rPr>
              <w:t xml:space="preserve">12.10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5" w:hRule="atLeast"/>
          <w:jc w:val="center"/>
        </w:trPr>
        <w:tc>
          <w:tcPr>
            <w:tcW w:w="1820" w:type="pct"/>
            <w:shd w:val="clear" w:color="auto" w:fill="auto"/>
            <w:vAlign w:val="center"/>
          </w:tcPr>
          <w:p>
            <w:pPr>
              <w:widowControl/>
              <w:adjustRightInd w:val="0"/>
              <w:snapToGrid w:val="0"/>
              <w:jc w:val="center"/>
              <w:rPr>
                <w:rFonts w:eastAsiaTheme="minorEastAsia"/>
                <w:kern w:val="0"/>
                <w:szCs w:val="21"/>
              </w:rPr>
            </w:pPr>
            <w:r>
              <w:rPr>
                <w:rFonts w:eastAsiaTheme="minorEastAsia"/>
                <w:kern w:val="0"/>
                <w:szCs w:val="21"/>
              </w:rPr>
              <w:t>TPSH2019-42</w:t>
            </w:r>
          </w:p>
        </w:tc>
        <w:tc>
          <w:tcPr>
            <w:tcW w:w="1644" w:type="pct"/>
            <w:shd w:val="clear" w:color="auto" w:fill="auto"/>
            <w:noWrap/>
            <w:vAlign w:val="center"/>
          </w:tcPr>
          <w:p>
            <w:pPr>
              <w:widowControl/>
              <w:adjustRightInd w:val="0"/>
              <w:snapToGrid w:val="0"/>
              <w:jc w:val="center"/>
              <w:rPr>
                <w:rFonts w:eastAsiaTheme="minorEastAsia"/>
                <w:kern w:val="0"/>
                <w:szCs w:val="21"/>
              </w:rPr>
            </w:pPr>
            <w:r>
              <w:rPr>
                <w:rFonts w:eastAsiaTheme="minorEastAsia"/>
                <w:kern w:val="0"/>
                <w:szCs w:val="21"/>
              </w:rPr>
              <w:t xml:space="preserve">16.96 </w:t>
            </w:r>
          </w:p>
        </w:tc>
        <w:tc>
          <w:tcPr>
            <w:tcW w:w="1536" w:type="pct"/>
            <w:shd w:val="clear" w:color="auto" w:fill="auto"/>
            <w:noWrap/>
            <w:vAlign w:val="center"/>
          </w:tcPr>
          <w:p>
            <w:pPr>
              <w:widowControl/>
              <w:adjustRightInd w:val="0"/>
              <w:snapToGrid w:val="0"/>
              <w:jc w:val="center"/>
              <w:rPr>
                <w:rFonts w:eastAsiaTheme="minorEastAsia"/>
                <w:kern w:val="0"/>
                <w:szCs w:val="21"/>
              </w:rPr>
            </w:pPr>
            <w:r>
              <w:rPr>
                <w:rFonts w:eastAsiaTheme="minorEastAsia"/>
                <w:kern w:val="0"/>
                <w:szCs w:val="21"/>
              </w:rPr>
              <w:t xml:space="preserve">12.50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jc w:val="center"/>
        </w:trPr>
        <w:tc>
          <w:tcPr>
            <w:tcW w:w="1820" w:type="pct"/>
            <w:shd w:val="clear" w:color="auto" w:fill="auto"/>
            <w:vAlign w:val="center"/>
          </w:tcPr>
          <w:p>
            <w:pPr>
              <w:widowControl/>
              <w:adjustRightInd w:val="0"/>
              <w:snapToGrid w:val="0"/>
              <w:jc w:val="center"/>
              <w:rPr>
                <w:rFonts w:eastAsiaTheme="minorEastAsia"/>
                <w:kern w:val="0"/>
                <w:szCs w:val="21"/>
              </w:rPr>
            </w:pPr>
            <w:r>
              <w:rPr>
                <w:rFonts w:eastAsiaTheme="minorEastAsia"/>
                <w:kern w:val="0"/>
                <w:szCs w:val="21"/>
              </w:rPr>
              <w:t>TPSH2019-43</w:t>
            </w:r>
          </w:p>
        </w:tc>
        <w:tc>
          <w:tcPr>
            <w:tcW w:w="1644" w:type="pct"/>
            <w:shd w:val="clear" w:color="auto" w:fill="auto"/>
            <w:noWrap/>
            <w:vAlign w:val="center"/>
          </w:tcPr>
          <w:p>
            <w:pPr>
              <w:widowControl/>
              <w:adjustRightInd w:val="0"/>
              <w:snapToGrid w:val="0"/>
              <w:jc w:val="center"/>
              <w:rPr>
                <w:rFonts w:eastAsiaTheme="minorEastAsia"/>
                <w:kern w:val="0"/>
                <w:szCs w:val="21"/>
              </w:rPr>
            </w:pPr>
            <w:r>
              <w:rPr>
                <w:rFonts w:eastAsiaTheme="minorEastAsia"/>
                <w:kern w:val="0"/>
                <w:szCs w:val="21"/>
              </w:rPr>
              <w:t xml:space="preserve">17.54 </w:t>
            </w:r>
          </w:p>
        </w:tc>
        <w:tc>
          <w:tcPr>
            <w:tcW w:w="1536" w:type="pct"/>
            <w:shd w:val="clear" w:color="auto" w:fill="auto"/>
            <w:noWrap/>
            <w:vAlign w:val="center"/>
          </w:tcPr>
          <w:p>
            <w:pPr>
              <w:widowControl/>
              <w:adjustRightInd w:val="0"/>
              <w:snapToGrid w:val="0"/>
              <w:jc w:val="center"/>
              <w:rPr>
                <w:rFonts w:eastAsiaTheme="minorEastAsia"/>
                <w:kern w:val="0"/>
                <w:szCs w:val="21"/>
              </w:rPr>
            </w:pPr>
            <w:r>
              <w:rPr>
                <w:rFonts w:eastAsiaTheme="minorEastAsia"/>
                <w:kern w:val="0"/>
                <w:szCs w:val="21"/>
              </w:rPr>
              <w:t xml:space="preserve">10.50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5" w:hRule="atLeast"/>
          <w:jc w:val="center"/>
        </w:trPr>
        <w:tc>
          <w:tcPr>
            <w:tcW w:w="1820" w:type="pct"/>
            <w:shd w:val="clear" w:color="auto" w:fill="auto"/>
            <w:vAlign w:val="center"/>
          </w:tcPr>
          <w:p>
            <w:pPr>
              <w:widowControl/>
              <w:adjustRightInd w:val="0"/>
              <w:snapToGrid w:val="0"/>
              <w:jc w:val="center"/>
              <w:rPr>
                <w:rFonts w:eastAsiaTheme="minorEastAsia"/>
                <w:kern w:val="0"/>
                <w:szCs w:val="21"/>
              </w:rPr>
            </w:pPr>
            <w:r>
              <w:rPr>
                <w:rFonts w:eastAsiaTheme="minorEastAsia"/>
                <w:kern w:val="0"/>
                <w:szCs w:val="21"/>
              </w:rPr>
              <w:t>TPSH2019-44</w:t>
            </w:r>
          </w:p>
        </w:tc>
        <w:tc>
          <w:tcPr>
            <w:tcW w:w="1644" w:type="pct"/>
            <w:shd w:val="clear" w:color="auto" w:fill="auto"/>
            <w:noWrap/>
            <w:vAlign w:val="center"/>
          </w:tcPr>
          <w:p>
            <w:pPr>
              <w:widowControl/>
              <w:adjustRightInd w:val="0"/>
              <w:snapToGrid w:val="0"/>
              <w:jc w:val="center"/>
              <w:rPr>
                <w:rFonts w:eastAsiaTheme="minorEastAsia"/>
                <w:kern w:val="0"/>
                <w:szCs w:val="21"/>
              </w:rPr>
            </w:pPr>
            <w:r>
              <w:rPr>
                <w:rFonts w:eastAsiaTheme="minorEastAsia"/>
                <w:kern w:val="0"/>
                <w:szCs w:val="21"/>
              </w:rPr>
              <w:t xml:space="preserve">17.54 </w:t>
            </w:r>
          </w:p>
        </w:tc>
        <w:tc>
          <w:tcPr>
            <w:tcW w:w="1536" w:type="pct"/>
            <w:shd w:val="clear" w:color="auto" w:fill="auto"/>
            <w:noWrap/>
            <w:vAlign w:val="center"/>
          </w:tcPr>
          <w:p>
            <w:pPr>
              <w:widowControl/>
              <w:adjustRightInd w:val="0"/>
              <w:snapToGrid w:val="0"/>
              <w:jc w:val="center"/>
              <w:rPr>
                <w:rFonts w:eastAsiaTheme="minorEastAsia"/>
                <w:kern w:val="0"/>
                <w:szCs w:val="21"/>
              </w:rPr>
            </w:pPr>
            <w:r>
              <w:rPr>
                <w:rFonts w:eastAsiaTheme="minorEastAsia"/>
                <w:kern w:val="0"/>
                <w:szCs w:val="21"/>
              </w:rPr>
              <w:t xml:space="preserve">12.00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jc w:val="center"/>
        </w:trPr>
        <w:tc>
          <w:tcPr>
            <w:tcW w:w="1820" w:type="pct"/>
            <w:shd w:val="clear" w:color="auto" w:fill="auto"/>
            <w:vAlign w:val="center"/>
          </w:tcPr>
          <w:p>
            <w:pPr>
              <w:widowControl/>
              <w:adjustRightInd w:val="0"/>
              <w:snapToGrid w:val="0"/>
              <w:jc w:val="center"/>
              <w:rPr>
                <w:rFonts w:eastAsiaTheme="minorEastAsia"/>
                <w:kern w:val="0"/>
                <w:szCs w:val="21"/>
              </w:rPr>
            </w:pPr>
            <w:r>
              <w:rPr>
                <w:rFonts w:eastAsiaTheme="minorEastAsia"/>
                <w:kern w:val="0"/>
                <w:szCs w:val="21"/>
              </w:rPr>
              <w:t>TPSH2019-45</w:t>
            </w:r>
          </w:p>
        </w:tc>
        <w:tc>
          <w:tcPr>
            <w:tcW w:w="1644" w:type="pct"/>
            <w:shd w:val="clear" w:color="auto" w:fill="auto"/>
            <w:noWrap/>
            <w:vAlign w:val="center"/>
          </w:tcPr>
          <w:p>
            <w:pPr>
              <w:widowControl/>
              <w:adjustRightInd w:val="0"/>
              <w:snapToGrid w:val="0"/>
              <w:jc w:val="center"/>
              <w:rPr>
                <w:rFonts w:eastAsiaTheme="minorEastAsia"/>
                <w:kern w:val="0"/>
                <w:szCs w:val="21"/>
              </w:rPr>
            </w:pPr>
            <w:r>
              <w:rPr>
                <w:rFonts w:eastAsiaTheme="minorEastAsia"/>
                <w:kern w:val="0"/>
                <w:szCs w:val="21"/>
              </w:rPr>
              <w:t xml:space="preserve">21.62 </w:t>
            </w:r>
          </w:p>
        </w:tc>
        <w:tc>
          <w:tcPr>
            <w:tcW w:w="1536" w:type="pct"/>
            <w:shd w:val="clear" w:color="auto" w:fill="auto"/>
            <w:noWrap/>
            <w:vAlign w:val="center"/>
          </w:tcPr>
          <w:p>
            <w:pPr>
              <w:widowControl/>
              <w:adjustRightInd w:val="0"/>
              <w:snapToGrid w:val="0"/>
              <w:jc w:val="center"/>
              <w:rPr>
                <w:rFonts w:eastAsiaTheme="minorEastAsia"/>
                <w:kern w:val="0"/>
                <w:szCs w:val="21"/>
              </w:rPr>
            </w:pPr>
            <w:r>
              <w:rPr>
                <w:rFonts w:eastAsiaTheme="minorEastAsia"/>
                <w:kern w:val="0"/>
                <w:szCs w:val="21"/>
              </w:rPr>
              <w:t xml:space="preserve">10.40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jc w:val="center"/>
        </w:trPr>
        <w:tc>
          <w:tcPr>
            <w:tcW w:w="1820" w:type="pct"/>
            <w:shd w:val="clear" w:color="auto" w:fill="auto"/>
            <w:vAlign w:val="center"/>
          </w:tcPr>
          <w:p>
            <w:pPr>
              <w:widowControl/>
              <w:adjustRightInd w:val="0"/>
              <w:snapToGrid w:val="0"/>
              <w:jc w:val="center"/>
              <w:rPr>
                <w:rFonts w:eastAsiaTheme="minorEastAsia"/>
                <w:kern w:val="0"/>
                <w:szCs w:val="21"/>
              </w:rPr>
            </w:pPr>
            <w:r>
              <w:rPr>
                <w:rFonts w:eastAsiaTheme="minorEastAsia"/>
                <w:kern w:val="0"/>
                <w:szCs w:val="21"/>
              </w:rPr>
              <w:t>TPSH2019-46</w:t>
            </w:r>
          </w:p>
        </w:tc>
        <w:tc>
          <w:tcPr>
            <w:tcW w:w="1644" w:type="pct"/>
            <w:shd w:val="clear" w:color="auto" w:fill="auto"/>
            <w:noWrap/>
            <w:vAlign w:val="center"/>
          </w:tcPr>
          <w:p>
            <w:pPr>
              <w:widowControl/>
              <w:adjustRightInd w:val="0"/>
              <w:snapToGrid w:val="0"/>
              <w:jc w:val="center"/>
              <w:rPr>
                <w:rFonts w:eastAsiaTheme="minorEastAsia"/>
                <w:kern w:val="0"/>
                <w:szCs w:val="21"/>
              </w:rPr>
            </w:pPr>
            <w:r>
              <w:rPr>
                <w:rFonts w:eastAsiaTheme="minorEastAsia"/>
                <w:kern w:val="0"/>
                <w:szCs w:val="21"/>
              </w:rPr>
              <w:t xml:space="preserve">16.66 </w:t>
            </w:r>
          </w:p>
        </w:tc>
        <w:tc>
          <w:tcPr>
            <w:tcW w:w="1536" w:type="pct"/>
            <w:shd w:val="clear" w:color="auto" w:fill="auto"/>
            <w:noWrap/>
            <w:vAlign w:val="center"/>
          </w:tcPr>
          <w:p>
            <w:pPr>
              <w:widowControl/>
              <w:adjustRightInd w:val="0"/>
              <w:snapToGrid w:val="0"/>
              <w:jc w:val="center"/>
              <w:rPr>
                <w:rFonts w:eastAsiaTheme="minorEastAsia"/>
                <w:kern w:val="0"/>
                <w:szCs w:val="21"/>
              </w:rPr>
            </w:pPr>
            <w:r>
              <w:rPr>
                <w:rFonts w:eastAsiaTheme="minorEastAsia"/>
                <w:kern w:val="0"/>
                <w:szCs w:val="21"/>
              </w:rPr>
              <w:t xml:space="preserve">7.62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0" w:hRule="atLeast"/>
          <w:jc w:val="center"/>
        </w:trPr>
        <w:tc>
          <w:tcPr>
            <w:tcW w:w="1820" w:type="pct"/>
            <w:shd w:val="clear" w:color="auto" w:fill="auto"/>
            <w:vAlign w:val="center"/>
          </w:tcPr>
          <w:p>
            <w:pPr>
              <w:widowControl/>
              <w:adjustRightInd w:val="0"/>
              <w:snapToGrid w:val="0"/>
              <w:jc w:val="center"/>
              <w:rPr>
                <w:rFonts w:eastAsiaTheme="minorEastAsia"/>
                <w:kern w:val="0"/>
                <w:szCs w:val="21"/>
              </w:rPr>
            </w:pPr>
            <w:r>
              <w:rPr>
                <w:rFonts w:eastAsiaTheme="minorEastAsia"/>
                <w:kern w:val="0"/>
                <w:szCs w:val="21"/>
              </w:rPr>
              <w:t>TPSH2019-47</w:t>
            </w:r>
          </w:p>
        </w:tc>
        <w:tc>
          <w:tcPr>
            <w:tcW w:w="1644" w:type="pct"/>
            <w:shd w:val="clear" w:color="auto" w:fill="auto"/>
            <w:noWrap/>
            <w:vAlign w:val="center"/>
          </w:tcPr>
          <w:p>
            <w:pPr>
              <w:widowControl/>
              <w:adjustRightInd w:val="0"/>
              <w:snapToGrid w:val="0"/>
              <w:jc w:val="center"/>
              <w:rPr>
                <w:rFonts w:eastAsiaTheme="minorEastAsia"/>
                <w:kern w:val="0"/>
                <w:szCs w:val="21"/>
              </w:rPr>
            </w:pPr>
            <w:r>
              <w:rPr>
                <w:rFonts w:eastAsiaTheme="minorEastAsia"/>
                <w:kern w:val="0"/>
                <w:szCs w:val="21"/>
              </w:rPr>
              <w:t xml:space="preserve">13.21 </w:t>
            </w:r>
          </w:p>
        </w:tc>
        <w:tc>
          <w:tcPr>
            <w:tcW w:w="1536" w:type="pct"/>
            <w:shd w:val="clear" w:color="auto" w:fill="auto"/>
            <w:noWrap/>
            <w:vAlign w:val="center"/>
          </w:tcPr>
          <w:p>
            <w:pPr>
              <w:widowControl/>
              <w:adjustRightInd w:val="0"/>
              <w:snapToGrid w:val="0"/>
              <w:jc w:val="center"/>
              <w:rPr>
                <w:rFonts w:eastAsiaTheme="minorEastAsia"/>
                <w:kern w:val="0"/>
                <w:szCs w:val="21"/>
              </w:rPr>
            </w:pPr>
            <w:r>
              <w:rPr>
                <w:rFonts w:eastAsiaTheme="minorEastAsia"/>
                <w:kern w:val="0"/>
                <w:szCs w:val="21"/>
              </w:rPr>
              <w:t xml:space="preserve">10.80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1820" w:type="pct"/>
            <w:shd w:val="clear" w:color="auto" w:fill="auto"/>
            <w:vAlign w:val="center"/>
          </w:tcPr>
          <w:p>
            <w:pPr>
              <w:widowControl/>
              <w:adjustRightInd w:val="0"/>
              <w:snapToGrid w:val="0"/>
              <w:jc w:val="center"/>
              <w:rPr>
                <w:rFonts w:eastAsiaTheme="minorEastAsia"/>
                <w:b/>
                <w:bCs/>
                <w:kern w:val="0"/>
                <w:szCs w:val="21"/>
              </w:rPr>
            </w:pPr>
            <w:r>
              <w:rPr>
                <w:rFonts w:eastAsiaTheme="minorEastAsia"/>
                <w:b/>
                <w:bCs/>
                <w:kern w:val="0"/>
                <w:szCs w:val="21"/>
              </w:rPr>
              <w:t>平均值</w:t>
            </w:r>
          </w:p>
        </w:tc>
        <w:tc>
          <w:tcPr>
            <w:tcW w:w="1644" w:type="pct"/>
            <w:shd w:val="clear" w:color="auto" w:fill="auto"/>
            <w:noWrap/>
            <w:vAlign w:val="center"/>
          </w:tcPr>
          <w:p>
            <w:pPr>
              <w:widowControl/>
              <w:adjustRightInd w:val="0"/>
              <w:snapToGrid w:val="0"/>
              <w:jc w:val="center"/>
              <w:rPr>
                <w:rFonts w:eastAsiaTheme="minorEastAsia"/>
                <w:kern w:val="0"/>
                <w:szCs w:val="21"/>
              </w:rPr>
            </w:pPr>
            <w:r>
              <w:rPr>
                <w:rFonts w:eastAsiaTheme="minorEastAsia"/>
                <w:kern w:val="0"/>
                <w:szCs w:val="21"/>
              </w:rPr>
              <w:t xml:space="preserve">17.04 </w:t>
            </w:r>
          </w:p>
        </w:tc>
        <w:tc>
          <w:tcPr>
            <w:tcW w:w="1536" w:type="pct"/>
            <w:shd w:val="clear" w:color="auto" w:fill="auto"/>
            <w:noWrap/>
            <w:vAlign w:val="center"/>
          </w:tcPr>
          <w:p>
            <w:pPr>
              <w:widowControl/>
              <w:adjustRightInd w:val="0"/>
              <w:snapToGrid w:val="0"/>
              <w:jc w:val="center"/>
              <w:rPr>
                <w:rFonts w:eastAsiaTheme="minorEastAsia"/>
                <w:kern w:val="0"/>
                <w:szCs w:val="21"/>
              </w:rPr>
            </w:pPr>
            <w:r>
              <w:rPr>
                <w:rFonts w:eastAsiaTheme="minorEastAsia"/>
                <w:kern w:val="0"/>
                <w:szCs w:val="21"/>
              </w:rPr>
              <w:t xml:space="preserve">10.28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1820" w:type="pct"/>
            <w:shd w:val="clear" w:color="auto" w:fill="auto"/>
            <w:vAlign w:val="center"/>
          </w:tcPr>
          <w:p>
            <w:pPr>
              <w:widowControl/>
              <w:adjustRightInd w:val="0"/>
              <w:snapToGrid w:val="0"/>
              <w:jc w:val="center"/>
              <w:rPr>
                <w:rFonts w:eastAsiaTheme="minorEastAsia"/>
                <w:b/>
                <w:bCs/>
                <w:kern w:val="0"/>
                <w:szCs w:val="21"/>
              </w:rPr>
            </w:pPr>
            <w:r>
              <w:rPr>
                <w:rFonts w:eastAsiaTheme="minorEastAsia"/>
                <w:b/>
                <w:bCs/>
                <w:kern w:val="0"/>
                <w:szCs w:val="21"/>
              </w:rPr>
              <w:t>Min</w:t>
            </w:r>
          </w:p>
        </w:tc>
        <w:tc>
          <w:tcPr>
            <w:tcW w:w="1644" w:type="pct"/>
            <w:shd w:val="clear" w:color="auto" w:fill="auto"/>
            <w:noWrap/>
            <w:vAlign w:val="center"/>
          </w:tcPr>
          <w:p>
            <w:pPr>
              <w:widowControl/>
              <w:adjustRightInd w:val="0"/>
              <w:snapToGrid w:val="0"/>
              <w:jc w:val="center"/>
              <w:rPr>
                <w:rFonts w:eastAsiaTheme="minorEastAsia"/>
                <w:kern w:val="0"/>
                <w:szCs w:val="21"/>
              </w:rPr>
            </w:pPr>
            <w:r>
              <w:rPr>
                <w:rFonts w:eastAsiaTheme="minorEastAsia"/>
                <w:kern w:val="0"/>
                <w:szCs w:val="21"/>
              </w:rPr>
              <w:t xml:space="preserve">6.03 </w:t>
            </w:r>
          </w:p>
        </w:tc>
        <w:tc>
          <w:tcPr>
            <w:tcW w:w="1536" w:type="pct"/>
            <w:shd w:val="clear" w:color="auto" w:fill="auto"/>
            <w:noWrap/>
            <w:vAlign w:val="center"/>
          </w:tcPr>
          <w:p>
            <w:pPr>
              <w:widowControl/>
              <w:adjustRightInd w:val="0"/>
              <w:snapToGrid w:val="0"/>
              <w:jc w:val="center"/>
              <w:rPr>
                <w:rFonts w:eastAsiaTheme="minorEastAsia"/>
                <w:kern w:val="0"/>
                <w:szCs w:val="21"/>
              </w:rPr>
            </w:pPr>
            <w:r>
              <w:rPr>
                <w:rFonts w:eastAsiaTheme="minorEastAsia"/>
                <w:kern w:val="0"/>
                <w:szCs w:val="21"/>
              </w:rPr>
              <w:t xml:space="preserve">5.85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1820" w:type="pct"/>
            <w:shd w:val="clear" w:color="auto" w:fill="auto"/>
            <w:vAlign w:val="center"/>
          </w:tcPr>
          <w:p>
            <w:pPr>
              <w:widowControl/>
              <w:adjustRightInd w:val="0"/>
              <w:snapToGrid w:val="0"/>
              <w:jc w:val="center"/>
              <w:rPr>
                <w:rFonts w:eastAsiaTheme="minorEastAsia"/>
                <w:b/>
                <w:bCs/>
                <w:kern w:val="0"/>
                <w:szCs w:val="21"/>
              </w:rPr>
            </w:pPr>
            <w:r>
              <w:rPr>
                <w:rFonts w:eastAsiaTheme="minorEastAsia"/>
                <w:b/>
                <w:bCs/>
                <w:kern w:val="0"/>
                <w:szCs w:val="21"/>
              </w:rPr>
              <w:t>Max</w:t>
            </w:r>
          </w:p>
        </w:tc>
        <w:tc>
          <w:tcPr>
            <w:tcW w:w="1644" w:type="pct"/>
            <w:shd w:val="clear" w:color="auto" w:fill="auto"/>
            <w:noWrap/>
            <w:vAlign w:val="center"/>
          </w:tcPr>
          <w:p>
            <w:pPr>
              <w:widowControl/>
              <w:adjustRightInd w:val="0"/>
              <w:snapToGrid w:val="0"/>
              <w:jc w:val="center"/>
              <w:rPr>
                <w:rFonts w:eastAsiaTheme="minorEastAsia"/>
                <w:kern w:val="0"/>
                <w:szCs w:val="21"/>
              </w:rPr>
            </w:pPr>
            <w:r>
              <w:rPr>
                <w:rFonts w:eastAsiaTheme="minorEastAsia"/>
                <w:kern w:val="0"/>
                <w:szCs w:val="21"/>
              </w:rPr>
              <w:t xml:space="preserve">24.84 </w:t>
            </w:r>
          </w:p>
        </w:tc>
        <w:tc>
          <w:tcPr>
            <w:tcW w:w="1536" w:type="pct"/>
            <w:shd w:val="clear" w:color="auto" w:fill="auto"/>
            <w:noWrap/>
            <w:vAlign w:val="center"/>
          </w:tcPr>
          <w:p>
            <w:pPr>
              <w:widowControl/>
              <w:adjustRightInd w:val="0"/>
              <w:snapToGrid w:val="0"/>
              <w:jc w:val="center"/>
              <w:rPr>
                <w:rFonts w:eastAsiaTheme="minorEastAsia"/>
                <w:kern w:val="0"/>
                <w:szCs w:val="21"/>
              </w:rPr>
            </w:pPr>
            <w:r>
              <w:rPr>
                <w:rFonts w:eastAsiaTheme="minorEastAsia"/>
                <w:kern w:val="0"/>
                <w:szCs w:val="21"/>
              </w:rPr>
              <w:t xml:space="preserve">13.00 </w:t>
            </w:r>
          </w:p>
        </w:tc>
      </w:tr>
    </w:tbl>
    <w:p>
      <w:pPr>
        <w:spacing w:before="120" w:beforeLines="50" w:after="120" w:afterLines="50" w:line="360" w:lineRule="auto"/>
        <w:ind w:left="437"/>
        <w:rPr>
          <w:b/>
          <w:szCs w:val="21"/>
        </w:rPr>
      </w:pPr>
      <w:r>
        <w:rPr>
          <w:b/>
          <w:szCs w:val="21"/>
        </w:rPr>
        <w:t xml:space="preserve">4. </w:t>
      </w:r>
      <w:r>
        <w:rPr>
          <w:rFonts w:hint="eastAsia"/>
          <w:b/>
          <w:szCs w:val="21"/>
        </w:rPr>
        <w:t>重金属污染物限量</w:t>
      </w:r>
    </w:p>
    <w:p>
      <w:pPr>
        <w:adjustRightInd w:val="0"/>
        <w:snapToGrid w:val="0"/>
        <w:spacing w:line="360" w:lineRule="auto"/>
        <w:ind w:firstLine="420" w:firstLineChars="200"/>
        <w:rPr>
          <w:szCs w:val="21"/>
        </w:rPr>
      </w:pPr>
      <w:r>
        <w:rPr>
          <w:rFonts w:hint="eastAsia"/>
          <w:szCs w:val="21"/>
        </w:rPr>
        <w:t>本标准对污染物限量指标的制定做了大量工作，对收集的来自贵州省内各石斛产业龙头企业提供的21份样品，筛查了G</w:t>
      </w:r>
      <w:r>
        <w:rPr>
          <w:szCs w:val="21"/>
        </w:rPr>
        <w:t xml:space="preserve">B </w:t>
      </w:r>
      <w:r>
        <w:rPr>
          <w:rFonts w:hint="eastAsia"/>
          <w:szCs w:val="21"/>
        </w:rPr>
        <w:t>2</w:t>
      </w:r>
      <w:r>
        <w:rPr>
          <w:szCs w:val="21"/>
        </w:rPr>
        <w:t>762</w:t>
      </w:r>
      <w:r>
        <w:rPr>
          <w:rFonts w:hint="eastAsia"/>
          <w:szCs w:val="21"/>
        </w:rPr>
        <w:t>所要求的重金属污染指标：</w:t>
      </w:r>
      <w:r>
        <w:rPr>
          <w:szCs w:val="21"/>
        </w:rPr>
        <w:t>铅、 镉、 汞、 砷、 锡、 镍、 铬</w:t>
      </w:r>
      <w:r>
        <w:rPr>
          <w:rFonts w:hint="eastAsia"/>
          <w:szCs w:val="21"/>
        </w:rPr>
        <w:t>，检测结果如表</w:t>
      </w:r>
      <w:r>
        <w:rPr>
          <w:szCs w:val="21"/>
        </w:rPr>
        <w:t>2</w:t>
      </w:r>
      <w:r>
        <w:rPr>
          <w:rFonts w:hint="eastAsia"/>
          <w:szCs w:val="21"/>
        </w:rPr>
        <w:t>。</w:t>
      </w:r>
    </w:p>
    <w:p>
      <w:pPr>
        <w:adjustRightInd w:val="0"/>
        <w:snapToGrid w:val="0"/>
        <w:spacing w:line="360" w:lineRule="auto"/>
        <w:jc w:val="center"/>
        <w:rPr>
          <w:b/>
          <w:szCs w:val="21"/>
        </w:rPr>
      </w:pPr>
      <w:r>
        <w:rPr>
          <w:rFonts w:hint="eastAsia"/>
          <w:b/>
          <w:szCs w:val="21"/>
        </w:rPr>
        <w:t>表</w:t>
      </w:r>
      <w:r>
        <w:rPr>
          <w:b/>
          <w:szCs w:val="21"/>
        </w:rPr>
        <w:t>2</w:t>
      </w:r>
      <w:r>
        <w:rPr>
          <w:rFonts w:hint="eastAsia"/>
          <w:b/>
          <w:szCs w:val="21"/>
        </w:rPr>
        <w:t xml:space="preserve"> 污染物限量检测结果（单位mg/Kg）</w:t>
      </w:r>
    </w:p>
    <w:tbl>
      <w:tblPr>
        <w:tblStyle w:val="7"/>
        <w:tblW w:w="5246" w:type="pct"/>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1551"/>
        <w:gridCol w:w="1080"/>
        <w:gridCol w:w="1194"/>
        <w:gridCol w:w="1080"/>
        <w:gridCol w:w="1179"/>
        <w:gridCol w:w="1080"/>
        <w:gridCol w:w="1171"/>
        <w:gridCol w:w="1171"/>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16" w:type="pct"/>
            <w:vAlign w:val="center"/>
          </w:tcPr>
          <w:p>
            <w:pPr>
              <w:spacing w:line="360" w:lineRule="auto"/>
              <w:jc w:val="center"/>
              <w:rPr>
                <w:b/>
                <w:sz w:val="18"/>
                <w:szCs w:val="18"/>
              </w:rPr>
            </w:pPr>
            <w:r>
              <w:rPr>
                <w:rFonts w:hint="eastAsia"/>
                <w:b/>
                <w:sz w:val="18"/>
                <w:szCs w:val="18"/>
              </w:rPr>
              <w:t>样品序号</w:t>
            </w:r>
          </w:p>
        </w:tc>
        <w:tc>
          <w:tcPr>
            <w:tcW w:w="568" w:type="pct"/>
            <w:vAlign w:val="center"/>
          </w:tcPr>
          <w:p>
            <w:pPr>
              <w:spacing w:line="360" w:lineRule="auto"/>
              <w:jc w:val="center"/>
              <w:rPr>
                <w:b/>
                <w:sz w:val="18"/>
                <w:szCs w:val="18"/>
              </w:rPr>
            </w:pPr>
            <w:r>
              <w:rPr>
                <w:rFonts w:hint="eastAsia"/>
                <w:b/>
                <w:sz w:val="18"/>
                <w:szCs w:val="18"/>
              </w:rPr>
              <w:t>铅Pb</w:t>
            </w:r>
          </w:p>
        </w:tc>
        <w:tc>
          <w:tcPr>
            <w:tcW w:w="628" w:type="pct"/>
            <w:vAlign w:val="center"/>
          </w:tcPr>
          <w:p>
            <w:pPr>
              <w:spacing w:line="360" w:lineRule="auto"/>
              <w:jc w:val="center"/>
              <w:rPr>
                <w:b/>
                <w:sz w:val="18"/>
                <w:szCs w:val="18"/>
              </w:rPr>
            </w:pPr>
            <w:r>
              <w:rPr>
                <w:rFonts w:hint="eastAsia"/>
                <w:b/>
                <w:sz w:val="18"/>
                <w:szCs w:val="18"/>
              </w:rPr>
              <w:t>砷As</w:t>
            </w:r>
          </w:p>
        </w:tc>
        <w:tc>
          <w:tcPr>
            <w:tcW w:w="568" w:type="pct"/>
            <w:vAlign w:val="center"/>
          </w:tcPr>
          <w:p>
            <w:pPr>
              <w:spacing w:line="360" w:lineRule="auto"/>
              <w:jc w:val="center"/>
              <w:rPr>
                <w:b/>
                <w:sz w:val="18"/>
                <w:szCs w:val="18"/>
              </w:rPr>
            </w:pPr>
            <w:r>
              <w:rPr>
                <w:b/>
                <w:sz w:val="18"/>
                <w:szCs w:val="18"/>
              </w:rPr>
              <w:t>汞</w:t>
            </w:r>
            <w:r>
              <w:rPr>
                <w:rFonts w:hint="eastAsia"/>
                <w:b/>
                <w:sz w:val="18"/>
                <w:szCs w:val="18"/>
              </w:rPr>
              <w:t>Hg</w:t>
            </w:r>
          </w:p>
        </w:tc>
        <w:tc>
          <w:tcPr>
            <w:tcW w:w="620" w:type="pct"/>
            <w:vAlign w:val="center"/>
          </w:tcPr>
          <w:p>
            <w:pPr>
              <w:spacing w:line="360" w:lineRule="auto"/>
              <w:jc w:val="center"/>
              <w:rPr>
                <w:b/>
                <w:sz w:val="18"/>
                <w:szCs w:val="18"/>
              </w:rPr>
            </w:pPr>
            <w:r>
              <w:rPr>
                <w:rFonts w:hint="eastAsia"/>
                <w:b/>
                <w:sz w:val="18"/>
                <w:szCs w:val="18"/>
              </w:rPr>
              <w:t>镉Cd</w:t>
            </w:r>
          </w:p>
        </w:tc>
        <w:tc>
          <w:tcPr>
            <w:tcW w:w="568" w:type="pct"/>
            <w:vAlign w:val="center"/>
          </w:tcPr>
          <w:p>
            <w:pPr>
              <w:spacing w:line="360" w:lineRule="auto"/>
              <w:jc w:val="center"/>
              <w:rPr>
                <w:b/>
                <w:sz w:val="18"/>
                <w:szCs w:val="18"/>
              </w:rPr>
            </w:pPr>
            <w:r>
              <w:rPr>
                <w:b/>
                <w:sz w:val="18"/>
                <w:szCs w:val="18"/>
              </w:rPr>
              <w:t>锡Sn</w:t>
            </w:r>
          </w:p>
        </w:tc>
        <w:tc>
          <w:tcPr>
            <w:tcW w:w="616" w:type="pct"/>
            <w:vAlign w:val="center"/>
          </w:tcPr>
          <w:p>
            <w:pPr>
              <w:spacing w:line="360" w:lineRule="auto"/>
              <w:jc w:val="center"/>
              <w:rPr>
                <w:b/>
                <w:sz w:val="18"/>
                <w:szCs w:val="18"/>
              </w:rPr>
            </w:pPr>
            <w:r>
              <w:rPr>
                <w:b/>
                <w:sz w:val="18"/>
                <w:szCs w:val="18"/>
              </w:rPr>
              <w:t>铬</w:t>
            </w:r>
            <w:r>
              <w:rPr>
                <w:rFonts w:hint="eastAsia"/>
                <w:b/>
                <w:sz w:val="18"/>
                <w:szCs w:val="18"/>
              </w:rPr>
              <w:t>Cr</w:t>
            </w:r>
          </w:p>
        </w:tc>
        <w:tc>
          <w:tcPr>
            <w:tcW w:w="616" w:type="pct"/>
            <w:vAlign w:val="center"/>
          </w:tcPr>
          <w:p>
            <w:pPr>
              <w:spacing w:line="360" w:lineRule="auto"/>
              <w:jc w:val="center"/>
              <w:rPr>
                <w:b/>
                <w:sz w:val="18"/>
                <w:szCs w:val="18"/>
              </w:rPr>
            </w:pPr>
            <w:r>
              <w:rPr>
                <w:b/>
                <w:sz w:val="18"/>
                <w:szCs w:val="18"/>
              </w:rPr>
              <w:t>镍</w:t>
            </w:r>
            <w:r>
              <w:rPr>
                <w:rFonts w:hint="eastAsia"/>
                <w:b/>
                <w:sz w:val="18"/>
                <w:szCs w:val="18"/>
              </w:rPr>
              <w:t>N</w:t>
            </w:r>
            <w:r>
              <w:rPr>
                <w:b/>
                <w:sz w:val="18"/>
                <w:szCs w:val="18"/>
              </w:rPr>
              <w:t>i</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16" w:type="pct"/>
            <w:vAlign w:val="center"/>
          </w:tcPr>
          <w:p>
            <w:pPr>
              <w:spacing w:line="360" w:lineRule="auto"/>
              <w:jc w:val="center"/>
              <w:rPr>
                <w:sz w:val="18"/>
                <w:szCs w:val="18"/>
              </w:rPr>
            </w:pPr>
            <w:r>
              <w:rPr>
                <w:sz w:val="18"/>
                <w:szCs w:val="18"/>
              </w:rPr>
              <w:t>TPSH2019-25</w:t>
            </w:r>
          </w:p>
        </w:tc>
        <w:tc>
          <w:tcPr>
            <w:tcW w:w="568" w:type="pct"/>
            <w:vAlign w:val="center"/>
          </w:tcPr>
          <w:p>
            <w:pPr>
              <w:spacing w:line="360" w:lineRule="auto"/>
              <w:jc w:val="center"/>
              <w:rPr>
                <w:sz w:val="18"/>
                <w:szCs w:val="18"/>
              </w:rPr>
            </w:pPr>
            <w:r>
              <w:rPr>
                <w:rFonts w:hint="eastAsia"/>
                <w:sz w:val="18"/>
                <w:szCs w:val="18"/>
              </w:rPr>
              <w:t>0.1619</w:t>
            </w:r>
          </w:p>
        </w:tc>
        <w:tc>
          <w:tcPr>
            <w:tcW w:w="628" w:type="pct"/>
            <w:vAlign w:val="center"/>
          </w:tcPr>
          <w:p>
            <w:pPr>
              <w:spacing w:line="360" w:lineRule="auto"/>
              <w:jc w:val="center"/>
              <w:rPr>
                <w:sz w:val="18"/>
                <w:szCs w:val="18"/>
              </w:rPr>
            </w:pPr>
            <w:r>
              <w:rPr>
                <w:rFonts w:hint="eastAsia"/>
                <w:sz w:val="18"/>
                <w:szCs w:val="18"/>
              </w:rPr>
              <w:t>0.1163</w:t>
            </w:r>
          </w:p>
        </w:tc>
        <w:tc>
          <w:tcPr>
            <w:tcW w:w="568" w:type="pct"/>
            <w:vAlign w:val="center"/>
          </w:tcPr>
          <w:p>
            <w:pPr>
              <w:spacing w:line="360" w:lineRule="auto"/>
              <w:jc w:val="center"/>
              <w:rPr>
                <w:sz w:val="18"/>
                <w:szCs w:val="18"/>
              </w:rPr>
            </w:pPr>
            <w:r>
              <w:rPr>
                <w:sz w:val="18"/>
                <w:szCs w:val="18"/>
              </w:rPr>
              <w:t>ND</w:t>
            </w:r>
          </w:p>
        </w:tc>
        <w:tc>
          <w:tcPr>
            <w:tcW w:w="620" w:type="pct"/>
            <w:vAlign w:val="center"/>
          </w:tcPr>
          <w:p>
            <w:pPr>
              <w:spacing w:line="360" w:lineRule="auto"/>
              <w:jc w:val="center"/>
              <w:rPr>
                <w:sz w:val="18"/>
                <w:szCs w:val="18"/>
              </w:rPr>
            </w:pPr>
            <w:r>
              <w:rPr>
                <w:rFonts w:hint="eastAsia"/>
                <w:sz w:val="18"/>
                <w:szCs w:val="18"/>
              </w:rPr>
              <w:t>0.0309</w:t>
            </w:r>
          </w:p>
        </w:tc>
        <w:tc>
          <w:tcPr>
            <w:tcW w:w="568" w:type="pct"/>
            <w:vAlign w:val="center"/>
          </w:tcPr>
          <w:p>
            <w:pPr>
              <w:spacing w:line="360" w:lineRule="auto"/>
              <w:jc w:val="center"/>
              <w:rPr>
                <w:sz w:val="18"/>
                <w:szCs w:val="18"/>
              </w:rPr>
            </w:pPr>
            <w:r>
              <w:rPr>
                <w:sz w:val="18"/>
                <w:szCs w:val="18"/>
              </w:rPr>
              <w:t>0.0297</w:t>
            </w:r>
          </w:p>
        </w:tc>
        <w:tc>
          <w:tcPr>
            <w:tcW w:w="616" w:type="pct"/>
            <w:vAlign w:val="center"/>
          </w:tcPr>
          <w:p>
            <w:pPr>
              <w:spacing w:line="360" w:lineRule="auto"/>
              <w:jc w:val="center"/>
              <w:rPr>
                <w:sz w:val="18"/>
                <w:szCs w:val="18"/>
              </w:rPr>
            </w:pPr>
            <w:r>
              <w:rPr>
                <w:sz w:val="18"/>
                <w:szCs w:val="18"/>
              </w:rPr>
              <w:t>17.841</w:t>
            </w:r>
          </w:p>
        </w:tc>
        <w:tc>
          <w:tcPr>
            <w:tcW w:w="616" w:type="pct"/>
            <w:vAlign w:val="center"/>
          </w:tcPr>
          <w:p>
            <w:pPr>
              <w:spacing w:line="360" w:lineRule="auto"/>
              <w:jc w:val="center"/>
              <w:rPr>
                <w:sz w:val="18"/>
                <w:szCs w:val="18"/>
              </w:rPr>
            </w:pPr>
            <w:r>
              <w:rPr>
                <w:sz w:val="18"/>
                <w:szCs w:val="18"/>
              </w:rPr>
              <w:t>0.9442</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16" w:type="pct"/>
            <w:vAlign w:val="center"/>
          </w:tcPr>
          <w:p>
            <w:pPr>
              <w:spacing w:line="360" w:lineRule="auto"/>
              <w:jc w:val="center"/>
              <w:rPr>
                <w:sz w:val="18"/>
                <w:szCs w:val="18"/>
              </w:rPr>
            </w:pPr>
            <w:r>
              <w:rPr>
                <w:sz w:val="18"/>
                <w:szCs w:val="18"/>
              </w:rPr>
              <w:t>TPSH2019-26</w:t>
            </w:r>
          </w:p>
        </w:tc>
        <w:tc>
          <w:tcPr>
            <w:tcW w:w="568" w:type="pct"/>
            <w:vAlign w:val="center"/>
          </w:tcPr>
          <w:p>
            <w:pPr>
              <w:spacing w:line="360" w:lineRule="auto"/>
              <w:jc w:val="center"/>
              <w:rPr>
                <w:sz w:val="18"/>
                <w:szCs w:val="18"/>
              </w:rPr>
            </w:pPr>
            <w:r>
              <w:rPr>
                <w:rFonts w:hint="eastAsia"/>
                <w:sz w:val="18"/>
                <w:szCs w:val="18"/>
              </w:rPr>
              <w:t>0.1474</w:t>
            </w:r>
          </w:p>
        </w:tc>
        <w:tc>
          <w:tcPr>
            <w:tcW w:w="628" w:type="pct"/>
            <w:vAlign w:val="center"/>
          </w:tcPr>
          <w:p>
            <w:pPr>
              <w:spacing w:line="360" w:lineRule="auto"/>
              <w:jc w:val="center"/>
              <w:rPr>
                <w:sz w:val="18"/>
                <w:szCs w:val="18"/>
              </w:rPr>
            </w:pPr>
            <w:r>
              <w:rPr>
                <w:rFonts w:hint="eastAsia"/>
                <w:sz w:val="18"/>
                <w:szCs w:val="18"/>
              </w:rPr>
              <w:t>0.1387</w:t>
            </w:r>
          </w:p>
        </w:tc>
        <w:tc>
          <w:tcPr>
            <w:tcW w:w="568" w:type="pct"/>
            <w:vAlign w:val="center"/>
          </w:tcPr>
          <w:p>
            <w:pPr>
              <w:spacing w:line="360" w:lineRule="auto"/>
              <w:jc w:val="center"/>
              <w:rPr>
                <w:sz w:val="18"/>
                <w:szCs w:val="18"/>
              </w:rPr>
            </w:pPr>
            <w:r>
              <w:rPr>
                <w:sz w:val="18"/>
                <w:szCs w:val="18"/>
              </w:rPr>
              <w:t>ND</w:t>
            </w:r>
          </w:p>
        </w:tc>
        <w:tc>
          <w:tcPr>
            <w:tcW w:w="620" w:type="pct"/>
            <w:vAlign w:val="center"/>
          </w:tcPr>
          <w:p>
            <w:pPr>
              <w:spacing w:line="360" w:lineRule="auto"/>
              <w:jc w:val="center"/>
              <w:rPr>
                <w:sz w:val="18"/>
                <w:szCs w:val="18"/>
              </w:rPr>
            </w:pPr>
            <w:r>
              <w:rPr>
                <w:rFonts w:hint="eastAsia"/>
                <w:sz w:val="18"/>
                <w:szCs w:val="18"/>
              </w:rPr>
              <w:t>0.0691</w:t>
            </w:r>
          </w:p>
        </w:tc>
        <w:tc>
          <w:tcPr>
            <w:tcW w:w="568" w:type="pct"/>
            <w:vAlign w:val="center"/>
          </w:tcPr>
          <w:p>
            <w:pPr>
              <w:spacing w:line="360" w:lineRule="auto"/>
              <w:jc w:val="center"/>
              <w:rPr>
                <w:sz w:val="18"/>
                <w:szCs w:val="18"/>
              </w:rPr>
            </w:pPr>
            <w:r>
              <w:rPr>
                <w:sz w:val="18"/>
                <w:szCs w:val="18"/>
              </w:rPr>
              <w:t>0.0288</w:t>
            </w:r>
          </w:p>
        </w:tc>
        <w:tc>
          <w:tcPr>
            <w:tcW w:w="616" w:type="pct"/>
            <w:vAlign w:val="center"/>
          </w:tcPr>
          <w:p>
            <w:pPr>
              <w:spacing w:line="360" w:lineRule="auto"/>
              <w:jc w:val="center"/>
              <w:rPr>
                <w:sz w:val="18"/>
                <w:szCs w:val="18"/>
              </w:rPr>
            </w:pPr>
            <w:r>
              <w:rPr>
                <w:sz w:val="18"/>
                <w:szCs w:val="18"/>
              </w:rPr>
              <w:t>15.025</w:t>
            </w:r>
          </w:p>
        </w:tc>
        <w:tc>
          <w:tcPr>
            <w:tcW w:w="616" w:type="pct"/>
            <w:vAlign w:val="center"/>
          </w:tcPr>
          <w:p>
            <w:pPr>
              <w:spacing w:line="360" w:lineRule="auto"/>
              <w:jc w:val="center"/>
              <w:rPr>
                <w:sz w:val="18"/>
                <w:szCs w:val="18"/>
              </w:rPr>
            </w:pPr>
            <w:r>
              <w:rPr>
                <w:sz w:val="18"/>
                <w:szCs w:val="18"/>
              </w:rPr>
              <w:t>1.0627</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16" w:type="pct"/>
          </w:tcPr>
          <w:p>
            <w:pPr>
              <w:spacing w:line="360" w:lineRule="auto"/>
              <w:jc w:val="center"/>
              <w:rPr>
                <w:sz w:val="18"/>
                <w:szCs w:val="18"/>
              </w:rPr>
            </w:pPr>
            <w:r>
              <w:rPr>
                <w:sz w:val="18"/>
                <w:szCs w:val="18"/>
              </w:rPr>
              <w:t>TPSH2019-27</w:t>
            </w:r>
          </w:p>
        </w:tc>
        <w:tc>
          <w:tcPr>
            <w:tcW w:w="568" w:type="pct"/>
            <w:vAlign w:val="center"/>
          </w:tcPr>
          <w:p>
            <w:pPr>
              <w:spacing w:line="360" w:lineRule="auto"/>
              <w:jc w:val="center"/>
              <w:rPr>
                <w:sz w:val="18"/>
                <w:szCs w:val="18"/>
              </w:rPr>
            </w:pPr>
            <w:r>
              <w:rPr>
                <w:rFonts w:hint="eastAsia"/>
                <w:sz w:val="18"/>
                <w:szCs w:val="18"/>
              </w:rPr>
              <w:t>0.2684</w:t>
            </w:r>
          </w:p>
        </w:tc>
        <w:tc>
          <w:tcPr>
            <w:tcW w:w="628" w:type="pct"/>
            <w:vAlign w:val="center"/>
          </w:tcPr>
          <w:p>
            <w:pPr>
              <w:spacing w:line="360" w:lineRule="auto"/>
              <w:jc w:val="center"/>
              <w:rPr>
                <w:sz w:val="18"/>
                <w:szCs w:val="18"/>
              </w:rPr>
            </w:pPr>
            <w:r>
              <w:rPr>
                <w:rFonts w:hint="eastAsia"/>
                <w:sz w:val="18"/>
                <w:szCs w:val="18"/>
              </w:rPr>
              <w:t>0.1483</w:t>
            </w:r>
          </w:p>
        </w:tc>
        <w:tc>
          <w:tcPr>
            <w:tcW w:w="568" w:type="pct"/>
            <w:vAlign w:val="center"/>
          </w:tcPr>
          <w:p>
            <w:pPr>
              <w:spacing w:line="360" w:lineRule="auto"/>
              <w:jc w:val="center"/>
              <w:rPr>
                <w:sz w:val="18"/>
                <w:szCs w:val="18"/>
              </w:rPr>
            </w:pPr>
            <w:r>
              <w:rPr>
                <w:sz w:val="18"/>
                <w:szCs w:val="18"/>
              </w:rPr>
              <w:t>ND</w:t>
            </w:r>
          </w:p>
        </w:tc>
        <w:tc>
          <w:tcPr>
            <w:tcW w:w="620" w:type="pct"/>
            <w:vAlign w:val="center"/>
          </w:tcPr>
          <w:p>
            <w:pPr>
              <w:spacing w:line="360" w:lineRule="auto"/>
              <w:jc w:val="center"/>
              <w:rPr>
                <w:sz w:val="18"/>
                <w:szCs w:val="18"/>
              </w:rPr>
            </w:pPr>
            <w:r>
              <w:rPr>
                <w:rFonts w:hint="eastAsia"/>
                <w:sz w:val="18"/>
                <w:szCs w:val="18"/>
              </w:rPr>
              <w:t>0.0874</w:t>
            </w:r>
          </w:p>
        </w:tc>
        <w:tc>
          <w:tcPr>
            <w:tcW w:w="568" w:type="pct"/>
            <w:vAlign w:val="center"/>
          </w:tcPr>
          <w:p>
            <w:pPr>
              <w:spacing w:line="360" w:lineRule="auto"/>
              <w:jc w:val="center"/>
              <w:rPr>
                <w:sz w:val="18"/>
                <w:szCs w:val="18"/>
              </w:rPr>
            </w:pPr>
            <w:r>
              <w:rPr>
                <w:sz w:val="18"/>
                <w:szCs w:val="18"/>
              </w:rPr>
              <w:t>0.0236</w:t>
            </w:r>
          </w:p>
        </w:tc>
        <w:tc>
          <w:tcPr>
            <w:tcW w:w="616" w:type="pct"/>
            <w:vAlign w:val="center"/>
          </w:tcPr>
          <w:p>
            <w:pPr>
              <w:spacing w:line="360" w:lineRule="auto"/>
              <w:jc w:val="center"/>
              <w:rPr>
                <w:sz w:val="18"/>
                <w:szCs w:val="18"/>
              </w:rPr>
            </w:pPr>
            <w:r>
              <w:rPr>
                <w:sz w:val="18"/>
                <w:szCs w:val="18"/>
              </w:rPr>
              <w:t>7.1028</w:t>
            </w:r>
          </w:p>
        </w:tc>
        <w:tc>
          <w:tcPr>
            <w:tcW w:w="616" w:type="pct"/>
            <w:vAlign w:val="center"/>
          </w:tcPr>
          <w:p>
            <w:pPr>
              <w:spacing w:line="360" w:lineRule="auto"/>
              <w:jc w:val="center"/>
              <w:rPr>
                <w:sz w:val="18"/>
                <w:szCs w:val="18"/>
              </w:rPr>
            </w:pPr>
            <w:r>
              <w:rPr>
                <w:sz w:val="18"/>
                <w:szCs w:val="18"/>
              </w:rPr>
              <w:t>0.9723</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16" w:type="pct"/>
          </w:tcPr>
          <w:p>
            <w:pPr>
              <w:spacing w:line="360" w:lineRule="auto"/>
              <w:jc w:val="center"/>
              <w:rPr>
                <w:sz w:val="18"/>
                <w:szCs w:val="18"/>
              </w:rPr>
            </w:pPr>
            <w:r>
              <w:rPr>
                <w:sz w:val="18"/>
                <w:szCs w:val="18"/>
              </w:rPr>
              <w:t>TPSH2019-28</w:t>
            </w:r>
          </w:p>
        </w:tc>
        <w:tc>
          <w:tcPr>
            <w:tcW w:w="568" w:type="pct"/>
            <w:vAlign w:val="center"/>
          </w:tcPr>
          <w:p>
            <w:pPr>
              <w:spacing w:line="360" w:lineRule="auto"/>
              <w:jc w:val="center"/>
              <w:rPr>
                <w:sz w:val="18"/>
                <w:szCs w:val="18"/>
              </w:rPr>
            </w:pPr>
            <w:r>
              <w:rPr>
                <w:rFonts w:hint="eastAsia"/>
                <w:sz w:val="18"/>
                <w:szCs w:val="18"/>
              </w:rPr>
              <w:t>0.0784</w:t>
            </w:r>
          </w:p>
        </w:tc>
        <w:tc>
          <w:tcPr>
            <w:tcW w:w="628" w:type="pct"/>
            <w:vAlign w:val="center"/>
          </w:tcPr>
          <w:p>
            <w:pPr>
              <w:spacing w:line="360" w:lineRule="auto"/>
              <w:jc w:val="center"/>
              <w:rPr>
                <w:sz w:val="18"/>
                <w:szCs w:val="18"/>
              </w:rPr>
            </w:pPr>
            <w:r>
              <w:rPr>
                <w:rFonts w:hint="eastAsia"/>
                <w:sz w:val="18"/>
                <w:szCs w:val="18"/>
              </w:rPr>
              <w:t>0.2232</w:t>
            </w:r>
          </w:p>
        </w:tc>
        <w:tc>
          <w:tcPr>
            <w:tcW w:w="568" w:type="pct"/>
            <w:vAlign w:val="center"/>
          </w:tcPr>
          <w:p>
            <w:pPr>
              <w:spacing w:line="360" w:lineRule="auto"/>
              <w:jc w:val="center"/>
              <w:rPr>
                <w:sz w:val="18"/>
                <w:szCs w:val="18"/>
              </w:rPr>
            </w:pPr>
            <w:r>
              <w:rPr>
                <w:sz w:val="18"/>
                <w:szCs w:val="18"/>
              </w:rPr>
              <w:t>ND</w:t>
            </w:r>
          </w:p>
        </w:tc>
        <w:tc>
          <w:tcPr>
            <w:tcW w:w="620" w:type="pct"/>
            <w:vAlign w:val="center"/>
          </w:tcPr>
          <w:p>
            <w:pPr>
              <w:spacing w:line="360" w:lineRule="auto"/>
              <w:jc w:val="center"/>
              <w:rPr>
                <w:sz w:val="18"/>
                <w:szCs w:val="18"/>
              </w:rPr>
            </w:pPr>
            <w:r>
              <w:rPr>
                <w:rFonts w:hint="eastAsia"/>
                <w:sz w:val="18"/>
                <w:szCs w:val="18"/>
              </w:rPr>
              <w:t>0.0166</w:t>
            </w:r>
          </w:p>
        </w:tc>
        <w:tc>
          <w:tcPr>
            <w:tcW w:w="568" w:type="pct"/>
            <w:vAlign w:val="center"/>
          </w:tcPr>
          <w:p>
            <w:pPr>
              <w:spacing w:line="360" w:lineRule="auto"/>
              <w:jc w:val="center"/>
              <w:rPr>
                <w:sz w:val="18"/>
                <w:szCs w:val="18"/>
              </w:rPr>
            </w:pPr>
            <w:r>
              <w:rPr>
                <w:sz w:val="18"/>
                <w:szCs w:val="18"/>
              </w:rPr>
              <w:t>0.0129</w:t>
            </w:r>
          </w:p>
        </w:tc>
        <w:tc>
          <w:tcPr>
            <w:tcW w:w="616" w:type="pct"/>
            <w:vAlign w:val="center"/>
          </w:tcPr>
          <w:p>
            <w:pPr>
              <w:spacing w:line="360" w:lineRule="auto"/>
              <w:jc w:val="center"/>
              <w:rPr>
                <w:sz w:val="18"/>
                <w:szCs w:val="18"/>
              </w:rPr>
            </w:pPr>
            <w:r>
              <w:rPr>
                <w:sz w:val="18"/>
                <w:szCs w:val="18"/>
              </w:rPr>
              <w:t>21.65</w:t>
            </w:r>
          </w:p>
        </w:tc>
        <w:tc>
          <w:tcPr>
            <w:tcW w:w="616" w:type="pct"/>
            <w:vAlign w:val="center"/>
          </w:tcPr>
          <w:p>
            <w:pPr>
              <w:spacing w:line="360" w:lineRule="auto"/>
              <w:jc w:val="center"/>
              <w:rPr>
                <w:sz w:val="18"/>
                <w:szCs w:val="18"/>
              </w:rPr>
            </w:pPr>
            <w:r>
              <w:rPr>
                <w:sz w:val="18"/>
                <w:szCs w:val="18"/>
              </w:rPr>
              <w:t>0.8756</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16" w:type="pct"/>
          </w:tcPr>
          <w:p>
            <w:pPr>
              <w:spacing w:line="360" w:lineRule="auto"/>
              <w:jc w:val="center"/>
              <w:rPr>
                <w:sz w:val="18"/>
                <w:szCs w:val="18"/>
              </w:rPr>
            </w:pPr>
            <w:r>
              <w:rPr>
                <w:sz w:val="18"/>
                <w:szCs w:val="18"/>
              </w:rPr>
              <w:t>TPSH2019-29</w:t>
            </w:r>
          </w:p>
        </w:tc>
        <w:tc>
          <w:tcPr>
            <w:tcW w:w="568" w:type="pct"/>
            <w:vAlign w:val="center"/>
          </w:tcPr>
          <w:p>
            <w:pPr>
              <w:spacing w:line="360" w:lineRule="auto"/>
              <w:jc w:val="center"/>
              <w:rPr>
                <w:sz w:val="18"/>
                <w:szCs w:val="18"/>
              </w:rPr>
            </w:pPr>
            <w:r>
              <w:rPr>
                <w:rFonts w:hint="eastAsia"/>
                <w:sz w:val="18"/>
                <w:szCs w:val="18"/>
              </w:rPr>
              <w:t>0.2007</w:t>
            </w:r>
          </w:p>
        </w:tc>
        <w:tc>
          <w:tcPr>
            <w:tcW w:w="628" w:type="pct"/>
            <w:vAlign w:val="center"/>
          </w:tcPr>
          <w:p>
            <w:pPr>
              <w:spacing w:line="360" w:lineRule="auto"/>
              <w:jc w:val="center"/>
              <w:rPr>
                <w:sz w:val="18"/>
                <w:szCs w:val="18"/>
              </w:rPr>
            </w:pPr>
            <w:r>
              <w:rPr>
                <w:rFonts w:hint="eastAsia"/>
                <w:sz w:val="18"/>
                <w:szCs w:val="18"/>
              </w:rPr>
              <w:t>0.408</w:t>
            </w:r>
            <w:r>
              <w:rPr>
                <w:sz w:val="18"/>
                <w:szCs w:val="18"/>
              </w:rPr>
              <w:t>0</w:t>
            </w:r>
          </w:p>
        </w:tc>
        <w:tc>
          <w:tcPr>
            <w:tcW w:w="568" w:type="pct"/>
            <w:vAlign w:val="center"/>
          </w:tcPr>
          <w:p>
            <w:pPr>
              <w:spacing w:line="360" w:lineRule="auto"/>
              <w:jc w:val="center"/>
              <w:rPr>
                <w:sz w:val="18"/>
                <w:szCs w:val="18"/>
              </w:rPr>
            </w:pPr>
            <w:r>
              <w:rPr>
                <w:sz w:val="18"/>
                <w:szCs w:val="18"/>
              </w:rPr>
              <w:t>ND</w:t>
            </w:r>
          </w:p>
        </w:tc>
        <w:tc>
          <w:tcPr>
            <w:tcW w:w="620" w:type="pct"/>
            <w:vAlign w:val="center"/>
          </w:tcPr>
          <w:p>
            <w:pPr>
              <w:spacing w:line="360" w:lineRule="auto"/>
              <w:jc w:val="center"/>
              <w:rPr>
                <w:sz w:val="18"/>
                <w:szCs w:val="18"/>
              </w:rPr>
            </w:pPr>
            <w:r>
              <w:rPr>
                <w:rFonts w:hint="eastAsia"/>
                <w:sz w:val="18"/>
                <w:szCs w:val="18"/>
              </w:rPr>
              <w:t>0.1528</w:t>
            </w:r>
          </w:p>
        </w:tc>
        <w:tc>
          <w:tcPr>
            <w:tcW w:w="568" w:type="pct"/>
            <w:vAlign w:val="center"/>
          </w:tcPr>
          <w:p>
            <w:pPr>
              <w:spacing w:line="360" w:lineRule="auto"/>
              <w:jc w:val="center"/>
              <w:rPr>
                <w:sz w:val="18"/>
                <w:szCs w:val="18"/>
              </w:rPr>
            </w:pPr>
            <w:r>
              <w:rPr>
                <w:sz w:val="18"/>
                <w:szCs w:val="18"/>
              </w:rPr>
              <w:t>0.0142</w:t>
            </w:r>
          </w:p>
        </w:tc>
        <w:tc>
          <w:tcPr>
            <w:tcW w:w="616" w:type="pct"/>
            <w:vAlign w:val="center"/>
          </w:tcPr>
          <w:p>
            <w:pPr>
              <w:spacing w:line="360" w:lineRule="auto"/>
              <w:jc w:val="center"/>
              <w:rPr>
                <w:sz w:val="18"/>
                <w:szCs w:val="18"/>
              </w:rPr>
            </w:pPr>
            <w:r>
              <w:rPr>
                <w:sz w:val="18"/>
                <w:szCs w:val="18"/>
              </w:rPr>
              <w:t>20.893</w:t>
            </w:r>
          </w:p>
        </w:tc>
        <w:tc>
          <w:tcPr>
            <w:tcW w:w="616" w:type="pct"/>
            <w:vAlign w:val="center"/>
          </w:tcPr>
          <w:p>
            <w:pPr>
              <w:spacing w:line="360" w:lineRule="auto"/>
              <w:jc w:val="center"/>
              <w:rPr>
                <w:sz w:val="18"/>
                <w:szCs w:val="18"/>
              </w:rPr>
            </w:pPr>
            <w:r>
              <w:rPr>
                <w:sz w:val="18"/>
                <w:szCs w:val="18"/>
              </w:rPr>
              <w:t>1.3178</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16" w:type="pct"/>
          </w:tcPr>
          <w:p>
            <w:pPr>
              <w:spacing w:line="360" w:lineRule="auto"/>
              <w:jc w:val="center"/>
              <w:rPr>
                <w:sz w:val="18"/>
                <w:szCs w:val="18"/>
              </w:rPr>
            </w:pPr>
            <w:r>
              <w:rPr>
                <w:sz w:val="18"/>
                <w:szCs w:val="18"/>
              </w:rPr>
              <w:t>TPSH2019-30</w:t>
            </w:r>
          </w:p>
        </w:tc>
        <w:tc>
          <w:tcPr>
            <w:tcW w:w="568" w:type="pct"/>
            <w:vAlign w:val="center"/>
          </w:tcPr>
          <w:p>
            <w:pPr>
              <w:spacing w:line="360" w:lineRule="auto"/>
              <w:jc w:val="center"/>
              <w:rPr>
                <w:sz w:val="18"/>
                <w:szCs w:val="18"/>
              </w:rPr>
            </w:pPr>
            <w:r>
              <w:rPr>
                <w:rFonts w:hint="eastAsia"/>
                <w:sz w:val="18"/>
                <w:szCs w:val="18"/>
              </w:rPr>
              <w:t>0.1561</w:t>
            </w:r>
          </w:p>
        </w:tc>
        <w:tc>
          <w:tcPr>
            <w:tcW w:w="628" w:type="pct"/>
            <w:vAlign w:val="center"/>
          </w:tcPr>
          <w:p>
            <w:pPr>
              <w:spacing w:line="360" w:lineRule="auto"/>
              <w:jc w:val="center"/>
              <w:rPr>
                <w:sz w:val="18"/>
                <w:szCs w:val="18"/>
              </w:rPr>
            </w:pPr>
            <w:r>
              <w:rPr>
                <w:rFonts w:hint="eastAsia"/>
                <w:sz w:val="18"/>
                <w:szCs w:val="18"/>
              </w:rPr>
              <w:t>0.2597</w:t>
            </w:r>
          </w:p>
        </w:tc>
        <w:tc>
          <w:tcPr>
            <w:tcW w:w="568" w:type="pct"/>
            <w:vAlign w:val="center"/>
          </w:tcPr>
          <w:p>
            <w:pPr>
              <w:spacing w:line="360" w:lineRule="auto"/>
              <w:jc w:val="center"/>
              <w:rPr>
                <w:sz w:val="18"/>
                <w:szCs w:val="18"/>
              </w:rPr>
            </w:pPr>
            <w:r>
              <w:rPr>
                <w:sz w:val="18"/>
                <w:szCs w:val="18"/>
              </w:rPr>
              <w:t>ND</w:t>
            </w:r>
          </w:p>
        </w:tc>
        <w:tc>
          <w:tcPr>
            <w:tcW w:w="620" w:type="pct"/>
            <w:vAlign w:val="center"/>
          </w:tcPr>
          <w:p>
            <w:pPr>
              <w:spacing w:line="360" w:lineRule="auto"/>
              <w:jc w:val="center"/>
              <w:rPr>
                <w:sz w:val="18"/>
                <w:szCs w:val="18"/>
              </w:rPr>
            </w:pPr>
            <w:r>
              <w:rPr>
                <w:rFonts w:hint="eastAsia"/>
                <w:sz w:val="18"/>
                <w:szCs w:val="18"/>
              </w:rPr>
              <w:t>0.0615</w:t>
            </w:r>
          </w:p>
        </w:tc>
        <w:tc>
          <w:tcPr>
            <w:tcW w:w="568" w:type="pct"/>
            <w:vAlign w:val="center"/>
          </w:tcPr>
          <w:p>
            <w:pPr>
              <w:spacing w:line="360" w:lineRule="auto"/>
              <w:jc w:val="center"/>
              <w:rPr>
                <w:sz w:val="18"/>
                <w:szCs w:val="18"/>
              </w:rPr>
            </w:pPr>
            <w:r>
              <w:rPr>
                <w:sz w:val="18"/>
                <w:szCs w:val="18"/>
              </w:rPr>
              <w:t>0.0129</w:t>
            </w:r>
          </w:p>
        </w:tc>
        <w:tc>
          <w:tcPr>
            <w:tcW w:w="616" w:type="pct"/>
            <w:vAlign w:val="center"/>
          </w:tcPr>
          <w:p>
            <w:pPr>
              <w:spacing w:line="360" w:lineRule="auto"/>
              <w:jc w:val="center"/>
              <w:rPr>
                <w:sz w:val="18"/>
                <w:szCs w:val="18"/>
              </w:rPr>
            </w:pPr>
            <w:r>
              <w:rPr>
                <w:sz w:val="18"/>
                <w:szCs w:val="18"/>
              </w:rPr>
              <w:t>3.5149</w:t>
            </w:r>
          </w:p>
        </w:tc>
        <w:tc>
          <w:tcPr>
            <w:tcW w:w="616" w:type="pct"/>
            <w:vAlign w:val="center"/>
          </w:tcPr>
          <w:p>
            <w:pPr>
              <w:spacing w:line="360" w:lineRule="auto"/>
              <w:jc w:val="center"/>
              <w:rPr>
                <w:sz w:val="18"/>
                <w:szCs w:val="18"/>
              </w:rPr>
            </w:pPr>
            <w:r>
              <w:rPr>
                <w:sz w:val="18"/>
                <w:szCs w:val="18"/>
              </w:rPr>
              <w:t>0.5436</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16" w:type="pct"/>
          </w:tcPr>
          <w:p>
            <w:pPr>
              <w:spacing w:line="360" w:lineRule="auto"/>
              <w:jc w:val="center"/>
              <w:rPr>
                <w:sz w:val="18"/>
                <w:szCs w:val="18"/>
              </w:rPr>
            </w:pPr>
            <w:r>
              <w:rPr>
                <w:sz w:val="18"/>
                <w:szCs w:val="18"/>
              </w:rPr>
              <w:t>TPSH2019-32</w:t>
            </w:r>
          </w:p>
        </w:tc>
        <w:tc>
          <w:tcPr>
            <w:tcW w:w="568" w:type="pct"/>
            <w:vAlign w:val="center"/>
          </w:tcPr>
          <w:p>
            <w:pPr>
              <w:spacing w:line="360" w:lineRule="auto"/>
              <w:jc w:val="center"/>
              <w:rPr>
                <w:sz w:val="18"/>
                <w:szCs w:val="18"/>
              </w:rPr>
            </w:pPr>
            <w:r>
              <w:rPr>
                <w:rFonts w:hint="eastAsia"/>
                <w:sz w:val="18"/>
                <w:szCs w:val="18"/>
              </w:rPr>
              <w:t>0.1787</w:t>
            </w:r>
          </w:p>
        </w:tc>
        <w:tc>
          <w:tcPr>
            <w:tcW w:w="628" w:type="pct"/>
            <w:vAlign w:val="center"/>
          </w:tcPr>
          <w:p>
            <w:pPr>
              <w:spacing w:line="360" w:lineRule="auto"/>
              <w:jc w:val="center"/>
              <w:rPr>
                <w:sz w:val="18"/>
                <w:szCs w:val="18"/>
              </w:rPr>
            </w:pPr>
            <w:r>
              <w:rPr>
                <w:rFonts w:hint="eastAsia"/>
                <w:sz w:val="18"/>
                <w:szCs w:val="18"/>
              </w:rPr>
              <w:t>0.2339</w:t>
            </w:r>
          </w:p>
        </w:tc>
        <w:tc>
          <w:tcPr>
            <w:tcW w:w="568" w:type="pct"/>
            <w:vAlign w:val="center"/>
          </w:tcPr>
          <w:p>
            <w:pPr>
              <w:spacing w:line="360" w:lineRule="auto"/>
              <w:jc w:val="center"/>
              <w:rPr>
                <w:sz w:val="18"/>
                <w:szCs w:val="18"/>
              </w:rPr>
            </w:pPr>
            <w:r>
              <w:rPr>
                <w:sz w:val="18"/>
                <w:szCs w:val="18"/>
              </w:rPr>
              <w:t>ND</w:t>
            </w:r>
          </w:p>
        </w:tc>
        <w:tc>
          <w:tcPr>
            <w:tcW w:w="620" w:type="pct"/>
            <w:vAlign w:val="center"/>
          </w:tcPr>
          <w:p>
            <w:pPr>
              <w:spacing w:line="360" w:lineRule="auto"/>
              <w:jc w:val="center"/>
              <w:rPr>
                <w:sz w:val="18"/>
                <w:szCs w:val="18"/>
              </w:rPr>
            </w:pPr>
            <w:r>
              <w:rPr>
                <w:rFonts w:hint="eastAsia"/>
                <w:sz w:val="18"/>
                <w:szCs w:val="18"/>
              </w:rPr>
              <w:t>0.082</w:t>
            </w:r>
            <w:r>
              <w:rPr>
                <w:sz w:val="18"/>
                <w:szCs w:val="18"/>
              </w:rPr>
              <w:t>0</w:t>
            </w:r>
          </w:p>
        </w:tc>
        <w:tc>
          <w:tcPr>
            <w:tcW w:w="568" w:type="pct"/>
            <w:vAlign w:val="center"/>
          </w:tcPr>
          <w:p>
            <w:pPr>
              <w:spacing w:line="360" w:lineRule="auto"/>
              <w:jc w:val="center"/>
              <w:rPr>
                <w:sz w:val="18"/>
                <w:szCs w:val="18"/>
              </w:rPr>
            </w:pPr>
            <w:r>
              <w:rPr>
                <w:sz w:val="18"/>
                <w:szCs w:val="18"/>
              </w:rPr>
              <w:t>0.0370</w:t>
            </w:r>
          </w:p>
        </w:tc>
        <w:tc>
          <w:tcPr>
            <w:tcW w:w="616" w:type="pct"/>
            <w:vAlign w:val="center"/>
          </w:tcPr>
          <w:p>
            <w:pPr>
              <w:spacing w:line="360" w:lineRule="auto"/>
              <w:jc w:val="center"/>
              <w:rPr>
                <w:sz w:val="18"/>
                <w:szCs w:val="18"/>
              </w:rPr>
            </w:pPr>
            <w:r>
              <w:rPr>
                <w:sz w:val="18"/>
                <w:szCs w:val="18"/>
              </w:rPr>
              <w:t>12.614</w:t>
            </w:r>
          </w:p>
        </w:tc>
        <w:tc>
          <w:tcPr>
            <w:tcW w:w="616" w:type="pct"/>
            <w:vAlign w:val="center"/>
          </w:tcPr>
          <w:p>
            <w:pPr>
              <w:spacing w:line="360" w:lineRule="auto"/>
              <w:jc w:val="center"/>
              <w:rPr>
                <w:sz w:val="18"/>
                <w:szCs w:val="18"/>
              </w:rPr>
            </w:pPr>
            <w:r>
              <w:rPr>
                <w:sz w:val="18"/>
                <w:szCs w:val="18"/>
              </w:rPr>
              <w:t>0.9699</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16" w:type="pct"/>
          </w:tcPr>
          <w:p>
            <w:pPr>
              <w:spacing w:line="360" w:lineRule="auto"/>
              <w:jc w:val="center"/>
              <w:rPr>
                <w:sz w:val="18"/>
                <w:szCs w:val="18"/>
              </w:rPr>
            </w:pPr>
            <w:r>
              <w:rPr>
                <w:sz w:val="18"/>
                <w:szCs w:val="18"/>
              </w:rPr>
              <w:t>TPSH2019-33</w:t>
            </w:r>
          </w:p>
        </w:tc>
        <w:tc>
          <w:tcPr>
            <w:tcW w:w="568" w:type="pct"/>
            <w:vAlign w:val="center"/>
          </w:tcPr>
          <w:p>
            <w:pPr>
              <w:spacing w:line="360" w:lineRule="auto"/>
              <w:jc w:val="center"/>
              <w:rPr>
                <w:sz w:val="18"/>
                <w:szCs w:val="18"/>
              </w:rPr>
            </w:pPr>
            <w:r>
              <w:rPr>
                <w:rFonts w:hint="eastAsia"/>
                <w:sz w:val="18"/>
                <w:szCs w:val="18"/>
              </w:rPr>
              <w:t>0.307</w:t>
            </w:r>
          </w:p>
        </w:tc>
        <w:tc>
          <w:tcPr>
            <w:tcW w:w="628" w:type="pct"/>
            <w:vAlign w:val="center"/>
          </w:tcPr>
          <w:p>
            <w:pPr>
              <w:spacing w:line="360" w:lineRule="auto"/>
              <w:jc w:val="center"/>
              <w:rPr>
                <w:sz w:val="18"/>
                <w:szCs w:val="18"/>
              </w:rPr>
            </w:pPr>
            <w:r>
              <w:rPr>
                <w:rFonts w:hint="eastAsia"/>
                <w:sz w:val="18"/>
                <w:szCs w:val="18"/>
              </w:rPr>
              <w:t>0.2441</w:t>
            </w:r>
          </w:p>
        </w:tc>
        <w:tc>
          <w:tcPr>
            <w:tcW w:w="568" w:type="pct"/>
            <w:vAlign w:val="center"/>
          </w:tcPr>
          <w:p>
            <w:pPr>
              <w:spacing w:line="360" w:lineRule="auto"/>
              <w:jc w:val="center"/>
              <w:rPr>
                <w:sz w:val="18"/>
                <w:szCs w:val="18"/>
              </w:rPr>
            </w:pPr>
            <w:r>
              <w:rPr>
                <w:sz w:val="18"/>
                <w:szCs w:val="18"/>
              </w:rPr>
              <w:t>ND</w:t>
            </w:r>
          </w:p>
        </w:tc>
        <w:tc>
          <w:tcPr>
            <w:tcW w:w="620" w:type="pct"/>
            <w:vAlign w:val="center"/>
          </w:tcPr>
          <w:p>
            <w:pPr>
              <w:spacing w:line="360" w:lineRule="auto"/>
              <w:jc w:val="center"/>
              <w:rPr>
                <w:sz w:val="18"/>
                <w:szCs w:val="18"/>
              </w:rPr>
            </w:pPr>
            <w:r>
              <w:rPr>
                <w:rFonts w:hint="eastAsia"/>
                <w:sz w:val="18"/>
                <w:szCs w:val="18"/>
              </w:rPr>
              <w:t>0.0795</w:t>
            </w:r>
          </w:p>
        </w:tc>
        <w:tc>
          <w:tcPr>
            <w:tcW w:w="568" w:type="pct"/>
            <w:vAlign w:val="center"/>
          </w:tcPr>
          <w:p>
            <w:pPr>
              <w:spacing w:line="360" w:lineRule="auto"/>
              <w:jc w:val="center"/>
              <w:rPr>
                <w:sz w:val="18"/>
                <w:szCs w:val="18"/>
              </w:rPr>
            </w:pPr>
            <w:r>
              <w:rPr>
                <w:sz w:val="18"/>
                <w:szCs w:val="18"/>
              </w:rPr>
              <w:t>0.0280</w:t>
            </w:r>
          </w:p>
        </w:tc>
        <w:tc>
          <w:tcPr>
            <w:tcW w:w="616" w:type="pct"/>
            <w:vAlign w:val="center"/>
          </w:tcPr>
          <w:p>
            <w:pPr>
              <w:spacing w:line="360" w:lineRule="auto"/>
              <w:jc w:val="center"/>
              <w:rPr>
                <w:sz w:val="18"/>
                <w:szCs w:val="18"/>
              </w:rPr>
            </w:pPr>
            <w:r>
              <w:rPr>
                <w:sz w:val="18"/>
                <w:szCs w:val="18"/>
              </w:rPr>
              <w:t>12.659</w:t>
            </w:r>
          </w:p>
        </w:tc>
        <w:tc>
          <w:tcPr>
            <w:tcW w:w="616" w:type="pct"/>
            <w:vAlign w:val="center"/>
          </w:tcPr>
          <w:p>
            <w:pPr>
              <w:spacing w:line="360" w:lineRule="auto"/>
              <w:jc w:val="center"/>
              <w:rPr>
                <w:sz w:val="18"/>
                <w:szCs w:val="18"/>
              </w:rPr>
            </w:pPr>
            <w:r>
              <w:rPr>
                <w:sz w:val="18"/>
                <w:szCs w:val="18"/>
              </w:rPr>
              <w:t>1.0015</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16" w:type="pct"/>
          </w:tcPr>
          <w:p>
            <w:pPr>
              <w:spacing w:line="360" w:lineRule="auto"/>
              <w:jc w:val="center"/>
              <w:rPr>
                <w:sz w:val="18"/>
                <w:szCs w:val="18"/>
              </w:rPr>
            </w:pPr>
            <w:r>
              <w:rPr>
                <w:sz w:val="18"/>
                <w:szCs w:val="18"/>
              </w:rPr>
              <w:t>TPSH2019-34</w:t>
            </w:r>
          </w:p>
        </w:tc>
        <w:tc>
          <w:tcPr>
            <w:tcW w:w="568" w:type="pct"/>
            <w:vAlign w:val="center"/>
          </w:tcPr>
          <w:p>
            <w:pPr>
              <w:spacing w:line="360" w:lineRule="auto"/>
              <w:jc w:val="center"/>
              <w:rPr>
                <w:sz w:val="18"/>
                <w:szCs w:val="18"/>
              </w:rPr>
            </w:pPr>
            <w:r>
              <w:rPr>
                <w:rFonts w:hint="eastAsia"/>
                <w:sz w:val="18"/>
                <w:szCs w:val="18"/>
              </w:rPr>
              <w:t>0.1817</w:t>
            </w:r>
          </w:p>
        </w:tc>
        <w:tc>
          <w:tcPr>
            <w:tcW w:w="628" w:type="pct"/>
            <w:vAlign w:val="center"/>
          </w:tcPr>
          <w:p>
            <w:pPr>
              <w:spacing w:line="360" w:lineRule="auto"/>
              <w:jc w:val="center"/>
              <w:rPr>
                <w:sz w:val="18"/>
                <w:szCs w:val="18"/>
              </w:rPr>
            </w:pPr>
            <w:r>
              <w:rPr>
                <w:rFonts w:hint="eastAsia"/>
                <w:sz w:val="18"/>
                <w:szCs w:val="18"/>
              </w:rPr>
              <w:t>0.3234</w:t>
            </w:r>
          </w:p>
        </w:tc>
        <w:tc>
          <w:tcPr>
            <w:tcW w:w="568" w:type="pct"/>
            <w:vAlign w:val="center"/>
          </w:tcPr>
          <w:p>
            <w:pPr>
              <w:spacing w:line="360" w:lineRule="auto"/>
              <w:jc w:val="center"/>
              <w:rPr>
                <w:sz w:val="18"/>
                <w:szCs w:val="18"/>
              </w:rPr>
            </w:pPr>
            <w:r>
              <w:rPr>
                <w:sz w:val="18"/>
                <w:szCs w:val="18"/>
              </w:rPr>
              <w:t>ND</w:t>
            </w:r>
          </w:p>
        </w:tc>
        <w:tc>
          <w:tcPr>
            <w:tcW w:w="620" w:type="pct"/>
            <w:vAlign w:val="center"/>
          </w:tcPr>
          <w:p>
            <w:pPr>
              <w:spacing w:line="360" w:lineRule="auto"/>
              <w:jc w:val="center"/>
              <w:rPr>
                <w:sz w:val="18"/>
                <w:szCs w:val="18"/>
              </w:rPr>
            </w:pPr>
            <w:r>
              <w:rPr>
                <w:rFonts w:hint="eastAsia"/>
                <w:sz w:val="18"/>
                <w:szCs w:val="18"/>
              </w:rPr>
              <w:t>0.2995</w:t>
            </w:r>
          </w:p>
        </w:tc>
        <w:tc>
          <w:tcPr>
            <w:tcW w:w="568" w:type="pct"/>
            <w:vAlign w:val="center"/>
          </w:tcPr>
          <w:p>
            <w:pPr>
              <w:spacing w:line="360" w:lineRule="auto"/>
              <w:jc w:val="center"/>
              <w:rPr>
                <w:sz w:val="18"/>
                <w:szCs w:val="18"/>
              </w:rPr>
            </w:pPr>
            <w:r>
              <w:rPr>
                <w:sz w:val="18"/>
                <w:szCs w:val="18"/>
              </w:rPr>
              <w:t>0.0322</w:t>
            </w:r>
          </w:p>
        </w:tc>
        <w:tc>
          <w:tcPr>
            <w:tcW w:w="616" w:type="pct"/>
            <w:vAlign w:val="center"/>
          </w:tcPr>
          <w:p>
            <w:pPr>
              <w:spacing w:line="360" w:lineRule="auto"/>
              <w:jc w:val="center"/>
              <w:rPr>
                <w:sz w:val="18"/>
                <w:szCs w:val="18"/>
              </w:rPr>
            </w:pPr>
            <w:r>
              <w:rPr>
                <w:sz w:val="18"/>
                <w:szCs w:val="18"/>
              </w:rPr>
              <w:t>16.436</w:t>
            </w:r>
          </w:p>
        </w:tc>
        <w:tc>
          <w:tcPr>
            <w:tcW w:w="616" w:type="pct"/>
            <w:vAlign w:val="center"/>
          </w:tcPr>
          <w:p>
            <w:pPr>
              <w:spacing w:line="360" w:lineRule="auto"/>
              <w:jc w:val="center"/>
              <w:rPr>
                <w:sz w:val="18"/>
                <w:szCs w:val="18"/>
              </w:rPr>
            </w:pPr>
            <w:r>
              <w:rPr>
                <w:sz w:val="18"/>
                <w:szCs w:val="18"/>
              </w:rPr>
              <w:t>0.901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16" w:type="pct"/>
          </w:tcPr>
          <w:p>
            <w:pPr>
              <w:spacing w:line="360" w:lineRule="auto"/>
              <w:jc w:val="center"/>
              <w:rPr>
                <w:sz w:val="18"/>
                <w:szCs w:val="18"/>
              </w:rPr>
            </w:pPr>
            <w:r>
              <w:rPr>
                <w:sz w:val="18"/>
                <w:szCs w:val="18"/>
              </w:rPr>
              <w:t>TPSH2019-35</w:t>
            </w:r>
          </w:p>
        </w:tc>
        <w:tc>
          <w:tcPr>
            <w:tcW w:w="568" w:type="pct"/>
            <w:vAlign w:val="center"/>
          </w:tcPr>
          <w:p>
            <w:pPr>
              <w:spacing w:line="360" w:lineRule="auto"/>
              <w:jc w:val="center"/>
              <w:rPr>
                <w:sz w:val="18"/>
                <w:szCs w:val="18"/>
              </w:rPr>
            </w:pPr>
            <w:r>
              <w:rPr>
                <w:rFonts w:hint="eastAsia"/>
                <w:sz w:val="18"/>
                <w:szCs w:val="18"/>
              </w:rPr>
              <w:t>0.1601</w:t>
            </w:r>
          </w:p>
        </w:tc>
        <w:tc>
          <w:tcPr>
            <w:tcW w:w="628" w:type="pct"/>
            <w:vAlign w:val="center"/>
          </w:tcPr>
          <w:p>
            <w:pPr>
              <w:spacing w:line="360" w:lineRule="auto"/>
              <w:jc w:val="center"/>
              <w:rPr>
                <w:sz w:val="18"/>
                <w:szCs w:val="18"/>
              </w:rPr>
            </w:pPr>
            <w:r>
              <w:rPr>
                <w:rFonts w:hint="eastAsia"/>
                <w:sz w:val="18"/>
                <w:szCs w:val="18"/>
              </w:rPr>
              <w:t>0.7288</w:t>
            </w:r>
          </w:p>
        </w:tc>
        <w:tc>
          <w:tcPr>
            <w:tcW w:w="568" w:type="pct"/>
            <w:vAlign w:val="center"/>
          </w:tcPr>
          <w:p>
            <w:pPr>
              <w:spacing w:line="360" w:lineRule="auto"/>
              <w:jc w:val="center"/>
              <w:rPr>
                <w:sz w:val="18"/>
                <w:szCs w:val="18"/>
              </w:rPr>
            </w:pPr>
            <w:r>
              <w:rPr>
                <w:sz w:val="18"/>
                <w:szCs w:val="18"/>
              </w:rPr>
              <w:t>ND</w:t>
            </w:r>
          </w:p>
        </w:tc>
        <w:tc>
          <w:tcPr>
            <w:tcW w:w="620" w:type="pct"/>
            <w:vAlign w:val="center"/>
          </w:tcPr>
          <w:p>
            <w:pPr>
              <w:spacing w:line="360" w:lineRule="auto"/>
              <w:jc w:val="center"/>
              <w:rPr>
                <w:sz w:val="18"/>
                <w:szCs w:val="18"/>
              </w:rPr>
            </w:pPr>
            <w:r>
              <w:rPr>
                <w:rFonts w:hint="eastAsia"/>
                <w:sz w:val="18"/>
                <w:szCs w:val="18"/>
              </w:rPr>
              <w:t>0.1677</w:t>
            </w:r>
          </w:p>
        </w:tc>
        <w:tc>
          <w:tcPr>
            <w:tcW w:w="568" w:type="pct"/>
            <w:vAlign w:val="center"/>
          </w:tcPr>
          <w:p>
            <w:pPr>
              <w:spacing w:line="360" w:lineRule="auto"/>
              <w:jc w:val="center"/>
              <w:rPr>
                <w:sz w:val="18"/>
                <w:szCs w:val="18"/>
              </w:rPr>
            </w:pPr>
            <w:r>
              <w:rPr>
                <w:sz w:val="18"/>
                <w:szCs w:val="18"/>
              </w:rPr>
              <w:t>0.0157</w:t>
            </w:r>
          </w:p>
        </w:tc>
        <w:tc>
          <w:tcPr>
            <w:tcW w:w="616" w:type="pct"/>
            <w:vAlign w:val="center"/>
          </w:tcPr>
          <w:p>
            <w:pPr>
              <w:spacing w:line="360" w:lineRule="auto"/>
              <w:jc w:val="center"/>
              <w:rPr>
                <w:sz w:val="18"/>
                <w:szCs w:val="18"/>
              </w:rPr>
            </w:pPr>
            <w:r>
              <w:rPr>
                <w:sz w:val="18"/>
                <w:szCs w:val="18"/>
              </w:rPr>
              <w:t>16.905</w:t>
            </w:r>
          </w:p>
        </w:tc>
        <w:tc>
          <w:tcPr>
            <w:tcW w:w="616" w:type="pct"/>
            <w:vAlign w:val="center"/>
          </w:tcPr>
          <w:p>
            <w:pPr>
              <w:spacing w:line="360" w:lineRule="auto"/>
              <w:jc w:val="center"/>
              <w:rPr>
                <w:sz w:val="18"/>
                <w:szCs w:val="18"/>
              </w:rPr>
            </w:pPr>
            <w:r>
              <w:rPr>
                <w:sz w:val="18"/>
                <w:szCs w:val="18"/>
              </w:rPr>
              <w:t>0.7507</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16" w:type="pct"/>
          </w:tcPr>
          <w:p>
            <w:pPr>
              <w:spacing w:line="360" w:lineRule="auto"/>
              <w:jc w:val="center"/>
              <w:rPr>
                <w:sz w:val="18"/>
                <w:szCs w:val="18"/>
              </w:rPr>
            </w:pPr>
            <w:r>
              <w:rPr>
                <w:sz w:val="18"/>
                <w:szCs w:val="18"/>
              </w:rPr>
              <w:t>TPSH2019-36</w:t>
            </w:r>
          </w:p>
        </w:tc>
        <w:tc>
          <w:tcPr>
            <w:tcW w:w="568" w:type="pct"/>
            <w:vAlign w:val="center"/>
          </w:tcPr>
          <w:p>
            <w:pPr>
              <w:spacing w:line="360" w:lineRule="auto"/>
              <w:jc w:val="center"/>
              <w:rPr>
                <w:sz w:val="18"/>
                <w:szCs w:val="18"/>
              </w:rPr>
            </w:pPr>
            <w:r>
              <w:rPr>
                <w:rFonts w:hint="eastAsia"/>
                <w:sz w:val="18"/>
                <w:szCs w:val="18"/>
              </w:rPr>
              <w:t>0.1514</w:t>
            </w:r>
          </w:p>
        </w:tc>
        <w:tc>
          <w:tcPr>
            <w:tcW w:w="628" w:type="pct"/>
            <w:vAlign w:val="center"/>
          </w:tcPr>
          <w:p>
            <w:pPr>
              <w:spacing w:line="360" w:lineRule="auto"/>
              <w:jc w:val="center"/>
              <w:rPr>
                <w:sz w:val="18"/>
                <w:szCs w:val="18"/>
              </w:rPr>
            </w:pPr>
            <w:r>
              <w:rPr>
                <w:rFonts w:hint="eastAsia"/>
                <w:sz w:val="18"/>
                <w:szCs w:val="18"/>
              </w:rPr>
              <w:t>0.2081</w:t>
            </w:r>
          </w:p>
        </w:tc>
        <w:tc>
          <w:tcPr>
            <w:tcW w:w="568" w:type="pct"/>
            <w:vAlign w:val="center"/>
          </w:tcPr>
          <w:p>
            <w:pPr>
              <w:spacing w:line="360" w:lineRule="auto"/>
              <w:jc w:val="center"/>
              <w:rPr>
                <w:sz w:val="18"/>
                <w:szCs w:val="18"/>
              </w:rPr>
            </w:pPr>
            <w:r>
              <w:rPr>
                <w:sz w:val="18"/>
                <w:szCs w:val="18"/>
              </w:rPr>
              <w:t>ND</w:t>
            </w:r>
          </w:p>
        </w:tc>
        <w:tc>
          <w:tcPr>
            <w:tcW w:w="620" w:type="pct"/>
            <w:vAlign w:val="center"/>
          </w:tcPr>
          <w:p>
            <w:pPr>
              <w:spacing w:line="360" w:lineRule="auto"/>
              <w:jc w:val="center"/>
              <w:rPr>
                <w:sz w:val="18"/>
                <w:szCs w:val="18"/>
              </w:rPr>
            </w:pPr>
            <w:r>
              <w:rPr>
                <w:rFonts w:hint="eastAsia"/>
                <w:sz w:val="18"/>
                <w:szCs w:val="18"/>
              </w:rPr>
              <w:t>0.3054</w:t>
            </w:r>
          </w:p>
        </w:tc>
        <w:tc>
          <w:tcPr>
            <w:tcW w:w="568" w:type="pct"/>
            <w:vAlign w:val="center"/>
          </w:tcPr>
          <w:p>
            <w:pPr>
              <w:spacing w:line="360" w:lineRule="auto"/>
              <w:jc w:val="center"/>
              <w:rPr>
                <w:sz w:val="18"/>
                <w:szCs w:val="18"/>
              </w:rPr>
            </w:pPr>
            <w:r>
              <w:rPr>
                <w:sz w:val="18"/>
                <w:szCs w:val="18"/>
              </w:rPr>
              <w:t>0.0322</w:t>
            </w:r>
          </w:p>
        </w:tc>
        <w:tc>
          <w:tcPr>
            <w:tcW w:w="616" w:type="pct"/>
            <w:vAlign w:val="center"/>
          </w:tcPr>
          <w:p>
            <w:pPr>
              <w:spacing w:line="360" w:lineRule="auto"/>
              <w:jc w:val="center"/>
              <w:rPr>
                <w:sz w:val="18"/>
                <w:szCs w:val="18"/>
              </w:rPr>
            </w:pPr>
            <w:r>
              <w:rPr>
                <w:sz w:val="18"/>
                <w:szCs w:val="18"/>
              </w:rPr>
              <w:t>13.8</w:t>
            </w:r>
          </w:p>
        </w:tc>
        <w:tc>
          <w:tcPr>
            <w:tcW w:w="616" w:type="pct"/>
            <w:vAlign w:val="center"/>
          </w:tcPr>
          <w:p>
            <w:pPr>
              <w:spacing w:line="360" w:lineRule="auto"/>
              <w:jc w:val="center"/>
              <w:rPr>
                <w:sz w:val="18"/>
                <w:szCs w:val="18"/>
              </w:rPr>
            </w:pPr>
            <w:r>
              <w:rPr>
                <w:sz w:val="18"/>
                <w:szCs w:val="18"/>
              </w:rPr>
              <w:t>1.6974</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16" w:type="pct"/>
          </w:tcPr>
          <w:p>
            <w:pPr>
              <w:spacing w:line="360" w:lineRule="auto"/>
              <w:jc w:val="center"/>
              <w:rPr>
                <w:sz w:val="18"/>
                <w:szCs w:val="18"/>
              </w:rPr>
            </w:pPr>
            <w:r>
              <w:rPr>
                <w:sz w:val="18"/>
                <w:szCs w:val="18"/>
              </w:rPr>
              <w:t>TPSH2019-37</w:t>
            </w:r>
          </w:p>
        </w:tc>
        <w:tc>
          <w:tcPr>
            <w:tcW w:w="568" w:type="pct"/>
            <w:vAlign w:val="center"/>
          </w:tcPr>
          <w:p>
            <w:pPr>
              <w:spacing w:line="360" w:lineRule="auto"/>
              <w:jc w:val="center"/>
              <w:rPr>
                <w:sz w:val="18"/>
                <w:szCs w:val="18"/>
              </w:rPr>
            </w:pPr>
            <w:r>
              <w:rPr>
                <w:rFonts w:hint="eastAsia"/>
                <w:sz w:val="18"/>
                <w:szCs w:val="18"/>
              </w:rPr>
              <w:t>0.1775</w:t>
            </w:r>
          </w:p>
        </w:tc>
        <w:tc>
          <w:tcPr>
            <w:tcW w:w="628" w:type="pct"/>
            <w:vAlign w:val="center"/>
          </w:tcPr>
          <w:p>
            <w:pPr>
              <w:spacing w:line="360" w:lineRule="auto"/>
              <w:jc w:val="center"/>
              <w:rPr>
                <w:sz w:val="18"/>
                <w:szCs w:val="18"/>
              </w:rPr>
            </w:pPr>
            <w:r>
              <w:rPr>
                <w:rFonts w:hint="eastAsia"/>
                <w:sz w:val="18"/>
                <w:szCs w:val="18"/>
              </w:rPr>
              <w:t>0.2483</w:t>
            </w:r>
          </w:p>
        </w:tc>
        <w:tc>
          <w:tcPr>
            <w:tcW w:w="568" w:type="pct"/>
            <w:vAlign w:val="center"/>
          </w:tcPr>
          <w:p>
            <w:pPr>
              <w:spacing w:line="360" w:lineRule="auto"/>
              <w:jc w:val="center"/>
              <w:rPr>
                <w:sz w:val="18"/>
                <w:szCs w:val="18"/>
              </w:rPr>
            </w:pPr>
            <w:r>
              <w:rPr>
                <w:sz w:val="18"/>
                <w:szCs w:val="18"/>
              </w:rPr>
              <w:t>ND</w:t>
            </w:r>
          </w:p>
        </w:tc>
        <w:tc>
          <w:tcPr>
            <w:tcW w:w="620" w:type="pct"/>
            <w:vAlign w:val="center"/>
          </w:tcPr>
          <w:p>
            <w:pPr>
              <w:spacing w:line="360" w:lineRule="auto"/>
              <w:jc w:val="center"/>
              <w:rPr>
                <w:sz w:val="18"/>
                <w:szCs w:val="18"/>
              </w:rPr>
            </w:pPr>
            <w:r>
              <w:rPr>
                <w:rFonts w:hint="eastAsia"/>
                <w:sz w:val="18"/>
                <w:szCs w:val="18"/>
              </w:rPr>
              <w:t>0.1592</w:t>
            </w:r>
          </w:p>
        </w:tc>
        <w:tc>
          <w:tcPr>
            <w:tcW w:w="568" w:type="pct"/>
            <w:vAlign w:val="center"/>
          </w:tcPr>
          <w:p>
            <w:pPr>
              <w:spacing w:line="360" w:lineRule="auto"/>
              <w:jc w:val="center"/>
              <w:rPr>
                <w:sz w:val="18"/>
                <w:szCs w:val="18"/>
              </w:rPr>
            </w:pPr>
            <w:r>
              <w:rPr>
                <w:sz w:val="18"/>
                <w:szCs w:val="18"/>
              </w:rPr>
              <w:t>0.0259</w:t>
            </w:r>
          </w:p>
        </w:tc>
        <w:tc>
          <w:tcPr>
            <w:tcW w:w="616" w:type="pct"/>
            <w:vAlign w:val="center"/>
          </w:tcPr>
          <w:p>
            <w:pPr>
              <w:spacing w:line="360" w:lineRule="auto"/>
              <w:jc w:val="center"/>
              <w:rPr>
                <w:sz w:val="18"/>
                <w:szCs w:val="18"/>
              </w:rPr>
            </w:pPr>
            <w:r>
              <w:rPr>
                <w:sz w:val="18"/>
                <w:szCs w:val="18"/>
              </w:rPr>
              <w:t>12.137</w:t>
            </w:r>
          </w:p>
        </w:tc>
        <w:tc>
          <w:tcPr>
            <w:tcW w:w="616" w:type="pct"/>
            <w:vAlign w:val="center"/>
          </w:tcPr>
          <w:p>
            <w:pPr>
              <w:spacing w:line="360" w:lineRule="auto"/>
              <w:jc w:val="center"/>
              <w:rPr>
                <w:sz w:val="18"/>
                <w:szCs w:val="18"/>
              </w:rPr>
            </w:pPr>
            <w:r>
              <w:rPr>
                <w:sz w:val="18"/>
                <w:szCs w:val="18"/>
              </w:rPr>
              <w:t>0.9754</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16" w:type="pct"/>
          </w:tcPr>
          <w:p>
            <w:pPr>
              <w:spacing w:line="360" w:lineRule="auto"/>
              <w:jc w:val="center"/>
              <w:rPr>
                <w:sz w:val="18"/>
                <w:szCs w:val="18"/>
              </w:rPr>
            </w:pPr>
            <w:r>
              <w:rPr>
                <w:sz w:val="18"/>
                <w:szCs w:val="18"/>
              </w:rPr>
              <w:t>TPSH2019-38</w:t>
            </w:r>
          </w:p>
        </w:tc>
        <w:tc>
          <w:tcPr>
            <w:tcW w:w="568" w:type="pct"/>
            <w:vAlign w:val="center"/>
          </w:tcPr>
          <w:p>
            <w:pPr>
              <w:spacing w:line="360" w:lineRule="auto"/>
              <w:jc w:val="center"/>
              <w:rPr>
                <w:sz w:val="18"/>
                <w:szCs w:val="18"/>
              </w:rPr>
            </w:pPr>
            <w:r>
              <w:rPr>
                <w:rFonts w:hint="eastAsia"/>
                <w:sz w:val="18"/>
                <w:szCs w:val="18"/>
              </w:rPr>
              <w:t>0.2077</w:t>
            </w:r>
          </w:p>
        </w:tc>
        <w:tc>
          <w:tcPr>
            <w:tcW w:w="628" w:type="pct"/>
            <w:vAlign w:val="center"/>
          </w:tcPr>
          <w:p>
            <w:pPr>
              <w:spacing w:line="360" w:lineRule="auto"/>
              <w:jc w:val="center"/>
              <w:rPr>
                <w:sz w:val="18"/>
                <w:szCs w:val="18"/>
              </w:rPr>
            </w:pPr>
            <w:r>
              <w:rPr>
                <w:rFonts w:hint="eastAsia"/>
                <w:sz w:val="18"/>
                <w:szCs w:val="18"/>
              </w:rPr>
              <w:t>0.1708</w:t>
            </w:r>
          </w:p>
        </w:tc>
        <w:tc>
          <w:tcPr>
            <w:tcW w:w="568" w:type="pct"/>
            <w:vAlign w:val="center"/>
          </w:tcPr>
          <w:p>
            <w:pPr>
              <w:spacing w:line="360" w:lineRule="auto"/>
              <w:jc w:val="center"/>
              <w:rPr>
                <w:sz w:val="18"/>
                <w:szCs w:val="18"/>
              </w:rPr>
            </w:pPr>
            <w:r>
              <w:rPr>
                <w:sz w:val="18"/>
                <w:szCs w:val="18"/>
              </w:rPr>
              <w:t>ND</w:t>
            </w:r>
          </w:p>
        </w:tc>
        <w:tc>
          <w:tcPr>
            <w:tcW w:w="620" w:type="pct"/>
            <w:vAlign w:val="center"/>
          </w:tcPr>
          <w:p>
            <w:pPr>
              <w:spacing w:line="360" w:lineRule="auto"/>
              <w:jc w:val="center"/>
              <w:rPr>
                <w:sz w:val="18"/>
                <w:szCs w:val="18"/>
              </w:rPr>
            </w:pPr>
            <w:r>
              <w:rPr>
                <w:rFonts w:hint="eastAsia"/>
                <w:sz w:val="18"/>
                <w:szCs w:val="18"/>
              </w:rPr>
              <w:t>0.0158</w:t>
            </w:r>
          </w:p>
        </w:tc>
        <w:tc>
          <w:tcPr>
            <w:tcW w:w="568" w:type="pct"/>
            <w:vAlign w:val="center"/>
          </w:tcPr>
          <w:p>
            <w:pPr>
              <w:spacing w:line="360" w:lineRule="auto"/>
              <w:jc w:val="center"/>
              <w:rPr>
                <w:sz w:val="18"/>
                <w:szCs w:val="18"/>
              </w:rPr>
            </w:pPr>
            <w:r>
              <w:rPr>
                <w:sz w:val="18"/>
                <w:szCs w:val="18"/>
              </w:rPr>
              <w:t>0.0371</w:t>
            </w:r>
          </w:p>
        </w:tc>
        <w:tc>
          <w:tcPr>
            <w:tcW w:w="616" w:type="pct"/>
            <w:vAlign w:val="center"/>
          </w:tcPr>
          <w:p>
            <w:pPr>
              <w:spacing w:line="360" w:lineRule="auto"/>
              <w:jc w:val="center"/>
              <w:rPr>
                <w:sz w:val="18"/>
                <w:szCs w:val="18"/>
              </w:rPr>
            </w:pPr>
            <w:r>
              <w:rPr>
                <w:sz w:val="18"/>
                <w:szCs w:val="18"/>
              </w:rPr>
              <w:t>16.197</w:t>
            </w:r>
          </w:p>
        </w:tc>
        <w:tc>
          <w:tcPr>
            <w:tcW w:w="616" w:type="pct"/>
            <w:vAlign w:val="center"/>
          </w:tcPr>
          <w:p>
            <w:pPr>
              <w:spacing w:line="360" w:lineRule="auto"/>
              <w:jc w:val="center"/>
              <w:rPr>
                <w:sz w:val="18"/>
                <w:szCs w:val="18"/>
              </w:rPr>
            </w:pPr>
            <w:r>
              <w:rPr>
                <w:sz w:val="18"/>
                <w:szCs w:val="18"/>
              </w:rPr>
              <w:t>1.0158</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16" w:type="pct"/>
          </w:tcPr>
          <w:p>
            <w:pPr>
              <w:spacing w:line="360" w:lineRule="auto"/>
              <w:jc w:val="center"/>
              <w:rPr>
                <w:sz w:val="18"/>
                <w:szCs w:val="18"/>
              </w:rPr>
            </w:pPr>
            <w:r>
              <w:rPr>
                <w:sz w:val="18"/>
                <w:szCs w:val="18"/>
              </w:rPr>
              <w:t>TPSH2019-39</w:t>
            </w:r>
          </w:p>
        </w:tc>
        <w:tc>
          <w:tcPr>
            <w:tcW w:w="568" w:type="pct"/>
            <w:vAlign w:val="center"/>
          </w:tcPr>
          <w:p>
            <w:pPr>
              <w:spacing w:line="360" w:lineRule="auto"/>
              <w:jc w:val="center"/>
              <w:rPr>
                <w:sz w:val="18"/>
                <w:szCs w:val="18"/>
              </w:rPr>
            </w:pPr>
            <w:r>
              <w:rPr>
                <w:rFonts w:hint="eastAsia"/>
                <w:sz w:val="18"/>
                <w:szCs w:val="18"/>
              </w:rPr>
              <w:t>0.1387</w:t>
            </w:r>
          </w:p>
        </w:tc>
        <w:tc>
          <w:tcPr>
            <w:tcW w:w="628" w:type="pct"/>
            <w:vAlign w:val="center"/>
          </w:tcPr>
          <w:p>
            <w:pPr>
              <w:spacing w:line="360" w:lineRule="auto"/>
              <w:jc w:val="center"/>
              <w:rPr>
                <w:sz w:val="18"/>
                <w:szCs w:val="18"/>
              </w:rPr>
            </w:pPr>
            <w:r>
              <w:rPr>
                <w:rFonts w:hint="eastAsia"/>
                <w:sz w:val="18"/>
                <w:szCs w:val="18"/>
              </w:rPr>
              <w:t>0.0819</w:t>
            </w:r>
          </w:p>
        </w:tc>
        <w:tc>
          <w:tcPr>
            <w:tcW w:w="568" w:type="pct"/>
            <w:vAlign w:val="center"/>
          </w:tcPr>
          <w:p>
            <w:pPr>
              <w:spacing w:line="360" w:lineRule="auto"/>
              <w:jc w:val="center"/>
              <w:rPr>
                <w:sz w:val="18"/>
                <w:szCs w:val="18"/>
              </w:rPr>
            </w:pPr>
            <w:r>
              <w:rPr>
                <w:sz w:val="18"/>
                <w:szCs w:val="18"/>
              </w:rPr>
              <w:t>ND</w:t>
            </w:r>
          </w:p>
        </w:tc>
        <w:tc>
          <w:tcPr>
            <w:tcW w:w="620" w:type="pct"/>
            <w:vAlign w:val="center"/>
          </w:tcPr>
          <w:p>
            <w:pPr>
              <w:spacing w:line="360" w:lineRule="auto"/>
              <w:jc w:val="center"/>
              <w:rPr>
                <w:sz w:val="18"/>
                <w:szCs w:val="18"/>
              </w:rPr>
            </w:pPr>
            <w:r>
              <w:rPr>
                <w:rFonts w:hint="eastAsia"/>
                <w:sz w:val="18"/>
                <w:szCs w:val="18"/>
              </w:rPr>
              <w:t>0.0105</w:t>
            </w:r>
          </w:p>
        </w:tc>
        <w:tc>
          <w:tcPr>
            <w:tcW w:w="568" w:type="pct"/>
            <w:vAlign w:val="center"/>
          </w:tcPr>
          <w:p>
            <w:pPr>
              <w:spacing w:line="360" w:lineRule="auto"/>
              <w:jc w:val="center"/>
              <w:rPr>
                <w:sz w:val="18"/>
                <w:szCs w:val="18"/>
              </w:rPr>
            </w:pPr>
            <w:r>
              <w:rPr>
                <w:sz w:val="18"/>
                <w:szCs w:val="18"/>
              </w:rPr>
              <w:t>0.0296</w:t>
            </w:r>
          </w:p>
        </w:tc>
        <w:tc>
          <w:tcPr>
            <w:tcW w:w="616" w:type="pct"/>
            <w:vAlign w:val="center"/>
          </w:tcPr>
          <w:p>
            <w:pPr>
              <w:spacing w:line="360" w:lineRule="auto"/>
              <w:jc w:val="center"/>
              <w:rPr>
                <w:sz w:val="18"/>
                <w:szCs w:val="18"/>
              </w:rPr>
            </w:pPr>
            <w:r>
              <w:rPr>
                <w:sz w:val="18"/>
                <w:szCs w:val="18"/>
              </w:rPr>
              <w:t>4.1433</w:t>
            </w:r>
          </w:p>
        </w:tc>
        <w:tc>
          <w:tcPr>
            <w:tcW w:w="616" w:type="pct"/>
            <w:vAlign w:val="center"/>
          </w:tcPr>
          <w:p>
            <w:pPr>
              <w:spacing w:line="360" w:lineRule="auto"/>
              <w:jc w:val="center"/>
              <w:rPr>
                <w:sz w:val="18"/>
                <w:szCs w:val="18"/>
              </w:rPr>
            </w:pPr>
            <w:r>
              <w:rPr>
                <w:sz w:val="18"/>
                <w:szCs w:val="18"/>
              </w:rPr>
              <w:t>0.8104</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16" w:type="pct"/>
          </w:tcPr>
          <w:p>
            <w:pPr>
              <w:spacing w:line="360" w:lineRule="auto"/>
              <w:jc w:val="center"/>
              <w:rPr>
                <w:sz w:val="18"/>
                <w:szCs w:val="18"/>
              </w:rPr>
            </w:pPr>
            <w:r>
              <w:rPr>
                <w:sz w:val="18"/>
                <w:szCs w:val="18"/>
              </w:rPr>
              <w:t>TPSH2019-41</w:t>
            </w:r>
          </w:p>
        </w:tc>
        <w:tc>
          <w:tcPr>
            <w:tcW w:w="568" w:type="pct"/>
            <w:vAlign w:val="center"/>
          </w:tcPr>
          <w:p>
            <w:pPr>
              <w:spacing w:line="360" w:lineRule="auto"/>
              <w:jc w:val="center"/>
              <w:rPr>
                <w:sz w:val="18"/>
                <w:szCs w:val="18"/>
              </w:rPr>
            </w:pPr>
            <w:r>
              <w:rPr>
                <w:rFonts w:hint="eastAsia"/>
                <w:sz w:val="18"/>
                <w:szCs w:val="18"/>
              </w:rPr>
              <w:t>0.057</w:t>
            </w:r>
            <w:r>
              <w:rPr>
                <w:sz w:val="18"/>
                <w:szCs w:val="18"/>
              </w:rPr>
              <w:t>0</w:t>
            </w:r>
          </w:p>
        </w:tc>
        <w:tc>
          <w:tcPr>
            <w:tcW w:w="628" w:type="pct"/>
            <w:vAlign w:val="center"/>
          </w:tcPr>
          <w:p>
            <w:pPr>
              <w:spacing w:line="360" w:lineRule="auto"/>
              <w:jc w:val="center"/>
              <w:rPr>
                <w:sz w:val="18"/>
                <w:szCs w:val="18"/>
              </w:rPr>
            </w:pPr>
            <w:r>
              <w:rPr>
                <w:rFonts w:hint="eastAsia"/>
                <w:sz w:val="18"/>
                <w:szCs w:val="18"/>
              </w:rPr>
              <w:t>0.1126</w:t>
            </w:r>
          </w:p>
        </w:tc>
        <w:tc>
          <w:tcPr>
            <w:tcW w:w="568" w:type="pct"/>
            <w:vAlign w:val="center"/>
          </w:tcPr>
          <w:p>
            <w:pPr>
              <w:spacing w:line="360" w:lineRule="auto"/>
              <w:jc w:val="center"/>
              <w:rPr>
                <w:sz w:val="18"/>
                <w:szCs w:val="18"/>
              </w:rPr>
            </w:pPr>
            <w:r>
              <w:rPr>
                <w:sz w:val="18"/>
                <w:szCs w:val="18"/>
              </w:rPr>
              <w:t>ND</w:t>
            </w:r>
          </w:p>
        </w:tc>
        <w:tc>
          <w:tcPr>
            <w:tcW w:w="620" w:type="pct"/>
            <w:vAlign w:val="center"/>
          </w:tcPr>
          <w:p>
            <w:pPr>
              <w:spacing w:line="360" w:lineRule="auto"/>
              <w:jc w:val="center"/>
              <w:rPr>
                <w:sz w:val="18"/>
                <w:szCs w:val="18"/>
              </w:rPr>
            </w:pPr>
            <w:r>
              <w:rPr>
                <w:rFonts w:hint="eastAsia"/>
                <w:sz w:val="18"/>
                <w:szCs w:val="18"/>
              </w:rPr>
              <w:t>0.078</w:t>
            </w:r>
            <w:r>
              <w:rPr>
                <w:sz w:val="18"/>
                <w:szCs w:val="18"/>
              </w:rPr>
              <w:t>0</w:t>
            </w:r>
          </w:p>
        </w:tc>
        <w:tc>
          <w:tcPr>
            <w:tcW w:w="568" w:type="pct"/>
            <w:vAlign w:val="center"/>
          </w:tcPr>
          <w:p>
            <w:pPr>
              <w:spacing w:line="360" w:lineRule="auto"/>
              <w:jc w:val="center"/>
              <w:rPr>
                <w:sz w:val="18"/>
                <w:szCs w:val="18"/>
              </w:rPr>
            </w:pPr>
            <w:r>
              <w:rPr>
                <w:sz w:val="18"/>
                <w:szCs w:val="18"/>
              </w:rPr>
              <w:t>0.0415</w:t>
            </w:r>
          </w:p>
        </w:tc>
        <w:tc>
          <w:tcPr>
            <w:tcW w:w="616" w:type="pct"/>
            <w:vAlign w:val="center"/>
          </w:tcPr>
          <w:p>
            <w:pPr>
              <w:spacing w:line="360" w:lineRule="auto"/>
              <w:jc w:val="center"/>
              <w:rPr>
                <w:sz w:val="18"/>
                <w:szCs w:val="18"/>
              </w:rPr>
            </w:pPr>
            <w:r>
              <w:rPr>
                <w:sz w:val="18"/>
                <w:szCs w:val="18"/>
              </w:rPr>
              <w:t>4.0076</w:t>
            </w:r>
          </w:p>
        </w:tc>
        <w:tc>
          <w:tcPr>
            <w:tcW w:w="616" w:type="pct"/>
            <w:vAlign w:val="center"/>
          </w:tcPr>
          <w:p>
            <w:pPr>
              <w:spacing w:line="360" w:lineRule="auto"/>
              <w:jc w:val="center"/>
              <w:rPr>
                <w:sz w:val="18"/>
                <w:szCs w:val="18"/>
              </w:rPr>
            </w:pPr>
            <w:r>
              <w:rPr>
                <w:sz w:val="18"/>
                <w:szCs w:val="18"/>
              </w:rPr>
              <w:t>0.8431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16" w:type="pct"/>
          </w:tcPr>
          <w:p>
            <w:pPr>
              <w:spacing w:line="360" w:lineRule="auto"/>
              <w:jc w:val="center"/>
              <w:rPr>
                <w:sz w:val="18"/>
                <w:szCs w:val="18"/>
              </w:rPr>
            </w:pPr>
            <w:r>
              <w:rPr>
                <w:sz w:val="18"/>
                <w:szCs w:val="18"/>
              </w:rPr>
              <w:t>TPSH2019-42</w:t>
            </w:r>
          </w:p>
        </w:tc>
        <w:tc>
          <w:tcPr>
            <w:tcW w:w="568" w:type="pct"/>
            <w:vAlign w:val="center"/>
          </w:tcPr>
          <w:p>
            <w:pPr>
              <w:spacing w:line="360" w:lineRule="auto"/>
              <w:jc w:val="center"/>
              <w:rPr>
                <w:sz w:val="18"/>
                <w:szCs w:val="18"/>
              </w:rPr>
            </w:pPr>
            <w:r>
              <w:rPr>
                <w:rFonts w:hint="eastAsia"/>
                <w:sz w:val="18"/>
                <w:szCs w:val="18"/>
              </w:rPr>
              <w:t>0.0868</w:t>
            </w:r>
          </w:p>
        </w:tc>
        <w:tc>
          <w:tcPr>
            <w:tcW w:w="628" w:type="pct"/>
            <w:vAlign w:val="center"/>
          </w:tcPr>
          <w:p>
            <w:pPr>
              <w:spacing w:line="360" w:lineRule="auto"/>
              <w:jc w:val="center"/>
              <w:rPr>
                <w:sz w:val="18"/>
                <w:szCs w:val="18"/>
              </w:rPr>
            </w:pPr>
            <w:r>
              <w:rPr>
                <w:rFonts w:hint="eastAsia"/>
                <w:sz w:val="18"/>
                <w:szCs w:val="18"/>
              </w:rPr>
              <w:t>0.1546</w:t>
            </w:r>
          </w:p>
        </w:tc>
        <w:tc>
          <w:tcPr>
            <w:tcW w:w="568" w:type="pct"/>
            <w:vAlign w:val="center"/>
          </w:tcPr>
          <w:p>
            <w:pPr>
              <w:spacing w:line="360" w:lineRule="auto"/>
              <w:jc w:val="center"/>
              <w:rPr>
                <w:sz w:val="18"/>
                <w:szCs w:val="18"/>
              </w:rPr>
            </w:pPr>
            <w:r>
              <w:rPr>
                <w:sz w:val="18"/>
                <w:szCs w:val="18"/>
              </w:rPr>
              <w:t>ND</w:t>
            </w:r>
          </w:p>
        </w:tc>
        <w:tc>
          <w:tcPr>
            <w:tcW w:w="620" w:type="pct"/>
            <w:vAlign w:val="center"/>
          </w:tcPr>
          <w:p>
            <w:pPr>
              <w:spacing w:line="360" w:lineRule="auto"/>
              <w:jc w:val="center"/>
              <w:rPr>
                <w:sz w:val="18"/>
                <w:szCs w:val="18"/>
              </w:rPr>
            </w:pPr>
            <w:r>
              <w:rPr>
                <w:rFonts w:hint="eastAsia"/>
                <w:sz w:val="18"/>
                <w:szCs w:val="18"/>
              </w:rPr>
              <w:t>0.1024</w:t>
            </w:r>
          </w:p>
        </w:tc>
        <w:tc>
          <w:tcPr>
            <w:tcW w:w="568" w:type="pct"/>
            <w:vAlign w:val="center"/>
          </w:tcPr>
          <w:p>
            <w:pPr>
              <w:spacing w:line="360" w:lineRule="auto"/>
              <w:jc w:val="center"/>
              <w:rPr>
                <w:sz w:val="18"/>
                <w:szCs w:val="18"/>
              </w:rPr>
            </w:pPr>
            <w:r>
              <w:rPr>
                <w:sz w:val="18"/>
                <w:szCs w:val="18"/>
              </w:rPr>
              <w:t>0.0184</w:t>
            </w:r>
          </w:p>
        </w:tc>
        <w:tc>
          <w:tcPr>
            <w:tcW w:w="616" w:type="pct"/>
            <w:vAlign w:val="center"/>
          </w:tcPr>
          <w:p>
            <w:pPr>
              <w:spacing w:line="360" w:lineRule="auto"/>
              <w:jc w:val="center"/>
              <w:rPr>
                <w:sz w:val="18"/>
                <w:szCs w:val="18"/>
              </w:rPr>
            </w:pPr>
            <w:r>
              <w:rPr>
                <w:sz w:val="18"/>
                <w:szCs w:val="18"/>
              </w:rPr>
              <w:t>12.534</w:t>
            </w:r>
          </w:p>
        </w:tc>
        <w:tc>
          <w:tcPr>
            <w:tcW w:w="616" w:type="pct"/>
            <w:vAlign w:val="center"/>
          </w:tcPr>
          <w:p>
            <w:pPr>
              <w:spacing w:line="360" w:lineRule="auto"/>
              <w:jc w:val="center"/>
              <w:rPr>
                <w:sz w:val="18"/>
                <w:szCs w:val="18"/>
              </w:rPr>
            </w:pPr>
            <w:r>
              <w:rPr>
                <w:sz w:val="18"/>
                <w:szCs w:val="18"/>
              </w:rPr>
              <w:t>1.0378</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16" w:type="pct"/>
          </w:tcPr>
          <w:p>
            <w:pPr>
              <w:spacing w:line="360" w:lineRule="auto"/>
              <w:jc w:val="center"/>
              <w:rPr>
                <w:sz w:val="18"/>
                <w:szCs w:val="18"/>
              </w:rPr>
            </w:pPr>
            <w:r>
              <w:rPr>
                <w:sz w:val="18"/>
                <w:szCs w:val="18"/>
              </w:rPr>
              <w:t>TPSH2019-43</w:t>
            </w:r>
          </w:p>
        </w:tc>
        <w:tc>
          <w:tcPr>
            <w:tcW w:w="568" w:type="pct"/>
            <w:vAlign w:val="center"/>
          </w:tcPr>
          <w:p>
            <w:pPr>
              <w:spacing w:line="360" w:lineRule="auto"/>
              <w:jc w:val="center"/>
              <w:rPr>
                <w:sz w:val="18"/>
                <w:szCs w:val="18"/>
              </w:rPr>
            </w:pPr>
            <w:r>
              <w:rPr>
                <w:rFonts w:hint="eastAsia"/>
                <w:sz w:val="18"/>
                <w:szCs w:val="18"/>
              </w:rPr>
              <w:t>0.0991</w:t>
            </w:r>
          </w:p>
        </w:tc>
        <w:tc>
          <w:tcPr>
            <w:tcW w:w="628" w:type="pct"/>
            <w:vAlign w:val="center"/>
          </w:tcPr>
          <w:p>
            <w:pPr>
              <w:spacing w:line="360" w:lineRule="auto"/>
              <w:jc w:val="center"/>
              <w:rPr>
                <w:sz w:val="18"/>
                <w:szCs w:val="18"/>
              </w:rPr>
            </w:pPr>
            <w:r>
              <w:rPr>
                <w:rFonts w:hint="eastAsia"/>
                <w:sz w:val="18"/>
                <w:szCs w:val="18"/>
              </w:rPr>
              <w:t>0.1654</w:t>
            </w:r>
          </w:p>
        </w:tc>
        <w:tc>
          <w:tcPr>
            <w:tcW w:w="568" w:type="pct"/>
            <w:vAlign w:val="center"/>
          </w:tcPr>
          <w:p>
            <w:pPr>
              <w:spacing w:line="360" w:lineRule="auto"/>
              <w:jc w:val="center"/>
              <w:rPr>
                <w:sz w:val="18"/>
                <w:szCs w:val="18"/>
              </w:rPr>
            </w:pPr>
            <w:r>
              <w:rPr>
                <w:sz w:val="18"/>
                <w:szCs w:val="18"/>
              </w:rPr>
              <w:t>ND</w:t>
            </w:r>
          </w:p>
        </w:tc>
        <w:tc>
          <w:tcPr>
            <w:tcW w:w="620" w:type="pct"/>
            <w:vAlign w:val="center"/>
          </w:tcPr>
          <w:p>
            <w:pPr>
              <w:spacing w:line="360" w:lineRule="auto"/>
              <w:jc w:val="center"/>
              <w:rPr>
                <w:sz w:val="18"/>
                <w:szCs w:val="18"/>
              </w:rPr>
            </w:pPr>
            <w:r>
              <w:rPr>
                <w:rFonts w:hint="eastAsia"/>
                <w:sz w:val="18"/>
                <w:szCs w:val="18"/>
              </w:rPr>
              <w:t>0.0315</w:t>
            </w:r>
          </w:p>
        </w:tc>
        <w:tc>
          <w:tcPr>
            <w:tcW w:w="568" w:type="pct"/>
            <w:vAlign w:val="center"/>
          </w:tcPr>
          <w:p>
            <w:pPr>
              <w:spacing w:line="360" w:lineRule="auto"/>
              <w:jc w:val="center"/>
              <w:rPr>
                <w:sz w:val="18"/>
                <w:szCs w:val="18"/>
              </w:rPr>
            </w:pPr>
            <w:r>
              <w:rPr>
                <w:sz w:val="18"/>
                <w:szCs w:val="18"/>
              </w:rPr>
              <w:t>0.0467</w:t>
            </w:r>
          </w:p>
        </w:tc>
        <w:tc>
          <w:tcPr>
            <w:tcW w:w="616" w:type="pct"/>
            <w:vAlign w:val="center"/>
          </w:tcPr>
          <w:p>
            <w:pPr>
              <w:spacing w:line="360" w:lineRule="auto"/>
              <w:jc w:val="center"/>
              <w:rPr>
                <w:sz w:val="18"/>
                <w:szCs w:val="18"/>
              </w:rPr>
            </w:pPr>
            <w:r>
              <w:rPr>
                <w:sz w:val="18"/>
                <w:szCs w:val="18"/>
              </w:rPr>
              <w:t>11.278</w:t>
            </w:r>
          </w:p>
        </w:tc>
        <w:tc>
          <w:tcPr>
            <w:tcW w:w="616" w:type="pct"/>
            <w:vAlign w:val="center"/>
          </w:tcPr>
          <w:p>
            <w:pPr>
              <w:spacing w:line="360" w:lineRule="auto"/>
              <w:jc w:val="center"/>
              <w:rPr>
                <w:sz w:val="18"/>
                <w:szCs w:val="18"/>
              </w:rPr>
            </w:pPr>
            <w:r>
              <w:rPr>
                <w:sz w:val="18"/>
                <w:szCs w:val="18"/>
              </w:rPr>
              <w:t>0.8337</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16" w:type="pct"/>
          </w:tcPr>
          <w:p>
            <w:pPr>
              <w:spacing w:line="360" w:lineRule="auto"/>
              <w:jc w:val="center"/>
              <w:rPr>
                <w:sz w:val="18"/>
                <w:szCs w:val="18"/>
              </w:rPr>
            </w:pPr>
            <w:r>
              <w:rPr>
                <w:sz w:val="18"/>
                <w:szCs w:val="18"/>
              </w:rPr>
              <w:t>TPSH2019-44</w:t>
            </w:r>
          </w:p>
        </w:tc>
        <w:tc>
          <w:tcPr>
            <w:tcW w:w="568" w:type="pct"/>
            <w:vAlign w:val="center"/>
          </w:tcPr>
          <w:p>
            <w:pPr>
              <w:spacing w:line="360" w:lineRule="auto"/>
              <w:jc w:val="center"/>
              <w:rPr>
                <w:sz w:val="18"/>
                <w:szCs w:val="18"/>
              </w:rPr>
            </w:pPr>
            <w:r>
              <w:rPr>
                <w:rFonts w:hint="eastAsia"/>
                <w:sz w:val="18"/>
                <w:szCs w:val="18"/>
              </w:rPr>
              <w:t>0.1827</w:t>
            </w:r>
          </w:p>
        </w:tc>
        <w:tc>
          <w:tcPr>
            <w:tcW w:w="628" w:type="pct"/>
            <w:vAlign w:val="center"/>
          </w:tcPr>
          <w:p>
            <w:pPr>
              <w:spacing w:line="360" w:lineRule="auto"/>
              <w:jc w:val="center"/>
              <w:rPr>
                <w:sz w:val="18"/>
                <w:szCs w:val="18"/>
              </w:rPr>
            </w:pPr>
            <w:r>
              <w:rPr>
                <w:rFonts w:hint="eastAsia"/>
                <w:sz w:val="18"/>
                <w:szCs w:val="18"/>
              </w:rPr>
              <w:t>0.1438</w:t>
            </w:r>
          </w:p>
        </w:tc>
        <w:tc>
          <w:tcPr>
            <w:tcW w:w="568" w:type="pct"/>
            <w:vAlign w:val="center"/>
          </w:tcPr>
          <w:p>
            <w:pPr>
              <w:spacing w:line="360" w:lineRule="auto"/>
              <w:jc w:val="center"/>
              <w:rPr>
                <w:sz w:val="18"/>
                <w:szCs w:val="18"/>
              </w:rPr>
            </w:pPr>
            <w:r>
              <w:rPr>
                <w:sz w:val="18"/>
                <w:szCs w:val="18"/>
              </w:rPr>
              <w:t>ND</w:t>
            </w:r>
          </w:p>
        </w:tc>
        <w:tc>
          <w:tcPr>
            <w:tcW w:w="620" w:type="pct"/>
            <w:vAlign w:val="center"/>
          </w:tcPr>
          <w:p>
            <w:pPr>
              <w:spacing w:line="360" w:lineRule="auto"/>
              <w:jc w:val="center"/>
              <w:rPr>
                <w:sz w:val="18"/>
                <w:szCs w:val="18"/>
              </w:rPr>
            </w:pPr>
            <w:r>
              <w:rPr>
                <w:rFonts w:hint="eastAsia"/>
                <w:sz w:val="18"/>
                <w:szCs w:val="18"/>
              </w:rPr>
              <w:t>0.0212</w:t>
            </w:r>
          </w:p>
        </w:tc>
        <w:tc>
          <w:tcPr>
            <w:tcW w:w="568" w:type="pct"/>
            <w:vAlign w:val="center"/>
          </w:tcPr>
          <w:p>
            <w:pPr>
              <w:spacing w:line="360" w:lineRule="auto"/>
              <w:jc w:val="center"/>
              <w:rPr>
                <w:sz w:val="18"/>
                <w:szCs w:val="18"/>
              </w:rPr>
            </w:pPr>
            <w:r>
              <w:rPr>
                <w:sz w:val="18"/>
                <w:szCs w:val="18"/>
              </w:rPr>
              <w:t>0.0298</w:t>
            </w:r>
          </w:p>
        </w:tc>
        <w:tc>
          <w:tcPr>
            <w:tcW w:w="616" w:type="pct"/>
            <w:vAlign w:val="center"/>
          </w:tcPr>
          <w:p>
            <w:pPr>
              <w:spacing w:line="360" w:lineRule="auto"/>
              <w:jc w:val="center"/>
              <w:rPr>
                <w:sz w:val="18"/>
                <w:szCs w:val="18"/>
              </w:rPr>
            </w:pPr>
            <w:r>
              <w:rPr>
                <w:sz w:val="18"/>
                <w:szCs w:val="18"/>
              </w:rPr>
              <w:t>2.1604</w:t>
            </w:r>
          </w:p>
        </w:tc>
        <w:tc>
          <w:tcPr>
            <w:tcW w:w="616" w:type="pct"/>
            <w:vAlign w:val="center"/>
          </w:tcPr>
          <w:p>
            <w:pPr>
              <w:spacing w:line="360" w:lineRule="auto"/>
              <w:jc w:val="center"/>
              <w:rPr>
                <w:sz w:val="18"/>
                <w:szCs w:val="18"/>
              </w:rPr>
            </w:pPr>
            <w:r>
              <w:rPr>
                <w:sz w:val="18"/>
                <w:szCs w:val="18"/>
              </w:rPr>
              <w:t>0.6131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16" w:type="pct"/>
          </w:tcPr>
          <w:p>
            <w:pPr>
              <w:spacing w:line="360" w:lineRule="auto"/>
              <w:jc w:val="center"/>
              <w:rPr>
                <w:sz w:val="18"/>
                <w:szCs w:val="18"/>
              </w:rPr>
            </w:pPr>
            <w:r>
              <w:rPr>
                <w:sz w:val="18"/>
                <w:szCs w:val="18"/>
              </w:rPr>
              <w:t>TPSH2019-45</w:t>
            </w:r>
          </w:p>
        </w:tc>
        <w:tc>
          <w:tcPr>
            <w:tcW w:w="568" w:type="pct"/>
            <w:vAlign w:val="center"/>
          </w:tcPr>
          <w:p>
            <w:pPr>
              <w:spacing w:line="360" w:lineRule="auto"/>
              <w:jc w:val="center"/>
              <w:rPr>
                <w:sz w:val="18"/>
                <w:szCs w:val="18"/>
              </w:rPr>
            </w:pPr>
            <w:r>
              <w:rPr>
                <w:rFonts w:hint="eastAsia"/>
                <w:sz w:val="18"/>
                <w:szCs w:val="18"/>
              </w:rPr>
              <w:t>0.1044</w:t>
            </w:r>
          </w:p>
        </w:tc>
        <w:tc>
          <w:tcPr>
            <w:tcW w:w="628" w:type="pct"/>
            <w:vAlign w:val="center"/>
          </w:tcPr>
          <w:p>
            <w:pPr>
              <w:spacing w:line="360" w:lineRule="auto"/>
              <w:jc w:val="center"/>
              <w:rPr>
                <w:sz w:val="18"/>
                <w:szCs w:val="18"/>
              </w:rPr>
            </w:pPr>
            <w:r>
              <w:rPr>
                <w:rFonts w:hint="eastAsia"/>
                <w:sz w:val="18"/>
                <w:szCs w:val="18"/>
              </w:rPr>
              <w:t>0.1228</w:t>
            </w:r>
          </w:p>
        </w:tc>
        <w:tc>
          <w:tcPr>
            <w:tcW w:w="568" w:type="pct"/>
            <w:vAlign w:val="center"/>
          </w:tcPr>
          <w:p>
            <w:pPr>
              <w:spacing w:line="360" w:lineRule="auto"/>
              <w:jc w:val="center"/>
              <w:rPr>
                <w:sz w:val="18"/>
                <w:szCs w:val="18"/>
              </w:rPr>
            </w:pPr>
            <w:r>
              <w:rPr>
                <w:sz w:val="18"/>
                <w:szCs w:val="18"/>
              </w:rPr>
              <w:t>ND</w:t>
            </w:r>
          </w:p>
        </w:tc>
        <w:tc>
          <w:tcPr>
            <w:tcW w:w="620" w:type="pct"/>
            <w:vAlign w:val="center"/>
          </w:tcPr>
          <w:p>
            <w:pPr>
              <w:spacing w:line="360" w:lineRule="auto"/>
              <w:jc w:val="center"/>
              <w:rPr>
                <w:sz w:val="18"/>
                <w:szCs w:val="18"/>
              </w:rPr>
            </w:pPr>
            <w:r>
              <w:rPr>
                <w:rFonts w:hint="eastAsia"/>
                <w:sz w:val="18"/>
                <w:szCs w:val="18"/>
              </w:rPr>
              <w:t>0.0516</w:t>
            </w:r>
          </w:p>
        </w:tc>
        <w:tc>
          <w:tcPr>
            <w:tcW w:w="568" w:type="pct"/>
            <w:vAlign w:val="center"/>
          </w:tcPr>
          <w:p>
            <w:pPr>
              <w:spacing w:line="360" w:lineRule="auto"/>
              <w:jc w:val="center"/>
              <w:rPr>
                <w:sz w:val="18"/>
                <w:szCs w:val="18"/>
              </w:rPr>
            </w:pPr>
            <w:r>
              <w:rPr>
                <w:sz w:val="18"/>
                <w:szCs w:val="18"/>
              </w:rPr>
              <w:t>0.0028</w:t>
            </w:r>
          </w:p>
        </w:tc>
        <w:tc>
          <w:tcPr>
            <w:tcW w:w="616" w:type="pct"/>
            <w:vAlign w:val="center"/>
          </w:tcPr>
          <w:p>
            <w:pPr>
              <w:spacing w:line="360" w:lineRule="auto"/>
              <w:jc w:val="center"/>
              <w:rPr>
                <w:sz w:val="18"/>
                <w:szCs w:val="18"/>
              </w:rPr>
            </w:pPr>
            <w:r>
              <w:rPr>
                <w:sz w:val="18"/>
                <w:szCs w:val="18"/>
              </w:rPr>
              <w:t>12.45</w:t>
            </w:r>
          </w:p>
        </w:tc>
        <w:tc>
          <w:tcPr>
            <w:tcW w:w="616" w:type="pct"/>
            <w:vAlign w:val="center"/>
          </w:tcPr>
          <w:p>
            <w:pPr>
              <w:spacing w:line="360" w:lineRule="auto"/>
              <w:jc w:val="center"/>
              <w:rPr>
                <w:sz w:val="18"/>
                <w:szCs w:val="18"/>
              </w:rPr>
            </w:pPr>
            <w:r>
              <w:rPr>
                <w:sz w:val="18"/>
                <w:szCs w:val="18"/>
              </w:rPr>
              <w:t>0.8509</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16" w:type="pct"/>
          </w:tcPr>
          <w:p>
            <w:pPr>
              <w:spacing w:line="360" w:lineRule="auto"/>
              <w:jc w:val="center"/>
              <w:rPr>
                <w:sz w:val="18"/>
                <w:szCs w:val="18"/>
              </w:rPr>
            </w:pPr>
            <w:r>
              <w:rPr>
                <w:sz w:val="18"/>
                <w:szCs w:val="18"/>
              </w:rPr>
              <w:t>TPSH2019-46</w:t>
            </w:r>
          </w:p>
        </w:tc>
        <w:tc>
          <w:tcPr>
            <w:tcW w:w="568" w:type="pct"/>
            <w:vAlign w:val="center"/>
          </w:tcPr>
          <w:p>
            <w:pPr>
              <w:spacing w:line="360" w:lineRule="auto"/>
              <w:jc w:val="center"/>
              <w:rPr>
                <w:sz w:val="18"/>
                <w:szCs w:val="18"/>
              </w:rPr>
            </w:pPr>
            <w:r>
              <w:rPr>
                <w:rFonts w:hint="eastAsia"/>
                <w:sz w:val="18"/>
                <w:szCs w:val="18"/>
              </w:rPr>
              <w:t>0.0612</w:t>
            </w:r>
          </w:p>
        </w:tc>
        <w:tc>
          <w:tcPr>
            <w:tcW w:w="628" w:type="pct"/>
            <w:vAlign w:val="center"/>
          </w:tcPr>
          <w:p>
            <w:pPr>
              <w:spacing w:line="360" w:lineRule="auto"/>
              <w:jc w:val="center"/>
              <w:rPr>
                <w:sz w:val="18"/>
                <w:szCs w:val="18"/>
              </w:rPr>
            </w:pPr>
            <w:r>
              <w:rPr>
                <w:rFonts w:hint="eastAsia"/>
                <w:sz w:val="18"/>
                <w:szCs w:val="18"/>
              </w:rPr>
              <w:t>0.1077</w:t>
            </w:r>
          </w:p>
        </w:tc>
        <w:tc>
          <w:tcPr>
            <w:tcW w:w="568" w:type="pct"/>
            <w:vAlign w:val="center"/>
          </w:tcPr>
          <w:p>
            <w:pPr>
              <w:spacing w:line="360" w:lineRule="auto"/>
              <w:jc w:val="center"/>
              <w:rPr>
                <w:sz w:val="18"/>
                <w:szCs w:val="18"/>
              </w:rPr>
            </w:pPr>
            <w:r>
              <w:rPr>
                <w:sz w:val="18"/>
                <w:szCs w:val="18"/>
              </w:rPr>
              <w:t>ND</w:t>
            </w:r>
          </w:p>
        </w:tc>
        <w:tc>
          <w:tcPr>
            <w:tcW w:w="620" w:type="pct"/>
            <w:vAlign w:val="center"/>
          </w:tcPr>
          <w:p>
            <w:pPr>
              <w:spacing w:line="360" w:lineRule="auto"/>
              <w:jc w:val="center"/>
              <w:rPr>
                <w:sz w:val="18"/>
                <w:szCs w:val="18"/>
              </w:rPr>
            </w:pPr>
            <w:r>
              <w:rPr>
                <w:rFonts w:hint="eastAsia"/>
                <w:sz w:val="18"/>
                <w:szCs w:val="18"/>
              </w:rPr>
              <w:t>0.0669</w:t>
            </w:r>
          </w:p>
        </w:tc>
        <w:tc>
          <w:tcPr>
            <w:tcW w:w="568" w:type="pct"/>
            <w:vAlign w:val="center"/>
          </w:tcPr>
          <w:p>
            <w:pPr>
              <w:spacing w:line="360" w:lineRule="auto"/>
              <w:jc w:val="center"/>
              <w:rPr>
                <w:sz w:val="18"/>
                <w:szCs w:val="18"/>
              </w:rPr>
            </w:pPr>
            <w:r>
              <w:rPr>
                <w:sz w:val="18"/>
                <w:szCs w:val="18"/>
              </w:rPr>
              <w:t>0.0457</w:t>
            </w:r>
          </w:p>
        </w:tc>
        <w:tc>
          <w:tcPr>
            <w:tcW w:w="616" w:type="pct"/>
            <w:vAlign w:val="center"/>
          </w:tcPr>
          <w:p>
            <w:pPr>
              <w:spacing w:line="360" w:lineRule="auto"/>
              <w:jc w:val="center"/>
              <w:rPr>
                <w:sz w:val="18"/>
                <w:szCs w:val="18"/>
              </w:rPr>
            </w:pPr>
            <w:r>
              <w:rPr>
                <w:sz w:val="18"/>
                <w:szCs w:val="18"/>
              </w:rPr>
              <w:t>5.8637</w:t>
            </w:r>
          </w:p>
        </w:tc>
        <w:tc>
          <w:tcPr>
            <w:tcW w:w="616" w:type="pct"/>
            <w:vAlign w:val="center"/>
          </w:tcPr>
          <w:p>
            <w:pPr>
              <w:spacing w:line="360" w:lineRule="auto"/>
              <w:jc w:val="center"/>
              <w:rPr>
                <w:sz w:val="18"/>
                <w:szCs w:val="18"/>
              </w:rPr>
            </w:pPr>
            <w:r>
              <w:rPr>
                <w:sz w:val="18"/>
                <w:szCs w:val="18"/>
              </w:rPr>
              <w:t>0.3416</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16" w:type="pct"/>
          </w:tcPr>
          <w:p>
            <w:pPr>
              <w:spacing w:line="360" w:lineRule="auto"/>
              <w:jc w:val="center"/>
              <w:rPr>
                <w:sz w:val="18"/>
                <w:szCs w:val="18"/>
              </w:rPr>
            </w:pPr>
            <w:r>
              <w:rPr>
                <w:sz w:val="18"/>
                <w:szCs w:val="18"/>
              </w:rPr>
              <w:t>TPSH2019-47</w:t>
            </w:r>
          </w:p>
        </w:tc>
        <w:tc>
          <w:tcPr>
            <w:tcW w:w="568" w:type="pct"/>
            <w:tcBorders>
              <w:bottom w:val="single" w:color="auto" w:sz="6" w:space="0"/>
            </w:tcBorders>
            <w:vAlign w:val="center"/>
          </w:tcPr>
          <w:p>
            <w:pPr>
              <w:spacing w:line="360" w:lineRule="auto"/>
              <w:jc w:val="center"/>
              <w:rPr>
                <w:sz w:val="18"/>
                <w:szCs w:val="18"/>
              </w:rPr>
            </w:pPr>
            <w:r>
              <w:rPr>
                <w:rFonts w:hint="eastAsia"/>
                <w:sz w:val="18"/>
                <w:szCs w:val="18"/>
              </w:rPr>
              <w:t>0.1978</w:t>
            </w:r>
          </w:p>
        </w:tc>
        <w:tc>
          <w:tcPr>
            <w:tcW w:w="628" w:type="pct"/>
            <w:tcBorders>
              <w:bottom w:val="single" w:color="auto" w:sz="6" w:space="0"/>
            </w:tcBorders>
            <w:vAlign w:val="center"/>
          </w:tcPr>
          <w:p>
            <w:pPr>
              <w:spacing w:line="360" w:lineRule="auto"/>
              <w:jc w:val="center"/>
              <w:rPr>
                <w:sz w:val="18"/>
                <w:szCs w:val="18"/>
              </w:rPr>
            </w:pPr>
            <w:r>
              <w:rPr>
                <w:rFonts w:hint="eastAsia"/>
                <w:sz w:val="18"/>
                <w:szCs w:val="18"/>
              </w:rPr>
              <w:t>0.1294</w:t>
            </w:r>
          </w:p>
        </w:tc>
        <w:tc>
          <w:tcPr>
            <w:tcW w:w="568" w:type="pct"/>
            <w:tcBorders>
              <w:bottom w:val="single" w:color="auto" w:sz="6" w:space="0"/>
            </w:tcBorders>
            <w:vAlign w:val="center"/>
          </w:tcPr>
          <w:p>
            <w:pPr>
              <w:spacing w:line="360" w:lineRule="auto"/>
              <w:jc w:val="center"/>
              <w:rPr>
                <w:sz w:val="18"/>
                <w:szCs w:val="18"/>
              </w:rPr>
            </w:pPr>
            <w:r>
              <w:rPr>
                <w:sz w:val="18"/>
                <w:szCs w:val="18"/>
              </w:rPr>
              <w:t>ND</w:t>
            </w:r>
          </w:p>
        </w:tc>
        <w:tc>
          <w:tcPr>
            <w:tcW w:w="620" w:type="pct"/>
            <w:tcBorders>
              <w:bottom w:val="single" w:color="auto" w:sz="6" w:space="0"/>
            </w:tcBorders>
            <w:vAlign w:val="center"/>
          </w:tcPr>
          <w:p>
            <w:pPr>
              <w:spacing w:line="360" w:lineRule="auto"/>
              <w:jc w:val="center"/>
              <w:rPr>
                <w:sz w:val="18"/>
                <w:szCs w:val="18"/>
              </w:rPr>
            </w:pPr>
            <w:r>
              <w:rPr>
                <w:rFonts w:hint="eastAsia"/>
                <w:sz w:val="18"/>
                <w:szCs w:val="18"/>
              </w:rPr>
              <w:t>0.1644</w:t>
            </w:r>
          </w:p>
        </w:tc>
        <w:tc>
          <w:tcPr>
            <w:tcW w:w="568" w:type="pct"/>
            <w:tcBorders>
              <w:bottom w:val="single" w:color="auto" w:sz="6" w:space="0"/>
            </w:tcBorders>
            <w:vAlign w:val="center"/>
          </w:tcPr>
          <w:p>
            <w:pPr>
              <w:spacing w:line="360" w:lineRule="auto"/>
              <w:jc w:val="center"/>
              <w:rPr>
                <w:sz w:val="18"/>
                <w:szCs w:val="18"/>
              </w:rPr>
            </w:pPr>
            <w:r>
              <w:rPr>
                <w:sz w:val="18"/>
                <w:szCs w:val="18"/>
              </w:rPr>
              <w:t>0.0476</w:t>
            </w:r>
          </w:p>
        </w:tc>
        <w:tc>
          <w:tcPr>
            <w:tcW w:w="616" w:type="pct"/>
            <w:tcBorders>
              <w:bottom w:val="single" w:color="auto" w:sz="6" w:space="0"/>
            </w:tcBorders>
            <w:vAlign w:val="center"/>
          </w:tcPr>
          <w:p>
            <w:pPr>
              <w:spacing w:line="360" w:lineRule="auto"/>
              <w:jc w:val="center"/>
              <w:rPr>
                <w:sz w:val="18"/>
                <w:szCs w:val="18"/>
              </w:rPr>
            </w:pPr>
            <w:r>
              <w:rPr>
                <w:sz w:val="18"/>
                <w:szCs w:val="18"/>
              </w:rPr>
              <w:t>5.9183</w:t>
            </w:r>
          </w:p>
        </w:tc>
        <w:tc>
          <w:tcPr>
            <w:tcW w:w="616" w:type="pct"/>
            <w:tcBorders>
              <w:bottom w:val="single" w:color="auto" w:sz="6" w:space="0"/>
            </w:tcBorders>
            <w:vAlign w:val="center"/>
          </w:tcPr>
          <w:p>
            <w:pPr>
              <w:spacing w:line="360" w:lineRule="auto"/>
              <w:jc w:val="center"/>
              <w:rPr>
                <w:sz w:val="18"/>
                <w:szCs w:val="18"/>
              </w:rPr>
            </w:pPr>
            <w:r>
              <w:rPr>
                <w:sz w:val="18"/>
                <w:szCs w:val="18"/>
              </w:rPr>
              <w:t>0.6025</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16" w:type="pct"/>
            <w:vAlign w:val="center"/>
          </w:tcPr>
          <w:p>
            <w:pPr>
              <w:spacing w:line="360" w:lineRule="auto"/>
              <w:jc w:val="center"/>
              <w:rPr>
                <w:b/>
                <w:sz w:val="18"/>
                <w:szCs w:val="18"/>
              </w:rPr>
            </w:pPr>
            <w:r>
              <w:rPr>
                <w:rFonts w:hint="eastAsia"/>
                <w:b/>
                <w:sz w:val="18"/>
                <w:szCs w:val="18"/>
              </w:rPr>
              <w:t>平均值</w:t>
            </w:r>
          </w:p>
        </w:tc>
        <w:tc>
          <w:tcPr>
            <w:tcW w:w="568" w:type="pct"/>
            <w:tcBorders>
              <w:top w:val="single" w:color="auto" w:sz="6" w:space="0"/>
              <w:left w:val="nil"/>
              <w:bottom w:val="single" w:color="auto" w:sz="6" w:space="0"/>
              <w:right w:val="single" w:color="auto" w:sz="6" w:space="0"/>
            </w:tcBorders>
            <w:shd w:val="clear" w:color="auto" w:fill="auto"/>
            <w:vAlign w:val="bottom"/>
          </w:tcPr>
          <w:p>
            <w:pPr>
              <w:spacing w:line="360" w:lineRule="auto"/>
              <w:jc w:val="center"/>
              <w:rPr>
                <w:b/>
                <w:sz w:val="18"/>
                <w:szCs w:val="18"/>
              </w:rPr>
            </w:pPr>
            <w:r>
              <w:rPr>
                <w:rFonts w:hint="eastAsia"/>
                <w:b/>
                <w:sz w:val="18"/>
                <w:szCs w:val="18"/>
              </w:rPr>
              <w:t xml:space="preserve">0.1574 </w:t>
            </w:r>
          </w:p>
        </w:tc>
        <w:tc>
          <w:tcPr>
            <w:tcW w:w="628" w:type="pct"/>
            <w:tcBorders>
              <w:top w:val="single" w:color="auto" w:sz="6" w:space="0"/>
              <w:left w:val="single" w:color="auto" w:sz="6" w:space="0"/>
              <w:bottom w:val="single" w:color="auto" w:sz="6" w:space="0"/>
              <w:right w:val="single" w:color="auto" w:sz="6" w:space="0"/>
            </w:tcBorders>
            <w:shd w:val="clear" w:color="auto" w:fill="auto"/>
            <w:vAlign w:val="bottom"/>
          </w:tcPr>
          <w:p>
            <w:pPr>
              <w:spacing w:line="360" w:lineRule="auto"/>
              <w:jc w:val="center"/>
              <w:rPr>
                <w:b/>
                <w:sz w:val="18"/>
                <w:szCs w:val="18"/>
              </w:rPr>
            </w:pPr>
            <w:r>
              <w:rPr>
                <w:rFonts w:hint="eastAsia"/>
                <w:b/>
                <w:sz w:val="18"/>
                <w:szCs w:val="18"/>
              </w:rPr>
              <w:t xml:space="preserve">0.2128 </w:t>
            </w:r>
          </w:p>
        </w:tc>
        <w:tc>
          <w:tcPr>
            <w:tcW w:w="568" w:type="pct"/>
            <w:tcBorders>
              <w:top w:val="single" w:color="auto" w:sz="6" w:space="0"/>
              <w:left w:val="single" w:color="auto" w:sz="6" w:space="0"/>
              <w:bottom w:val="single" w:color="auto" w:sz="6" w:space="0"/>
              <w:right w:val="single" w:color="auto" w:sz="6" w:space="0"/>
            </w:tcBorders>
            <w:shd w:val="clear" w:color="auto" w:fill="auto"/>
            <w:vAlign w:val="bottom"/>
          </w:tcPr>
          <w:p>
            <w:pPr>
              <w:spacing w:line="360" w:lineRule="auto"/>
              <w:jc w:val="center"/>
              <w:rPr>
                <w:b/>
                <w:sz w:val="18"/>
                <w:szCs w:val="18"/>
              </w:rPr>
            </w:pPr>
            <w:r>
              <w:rPr>
                <w:rFonts w:hint="eastAsia"/>
                <w:b/>
                <w:sz w:val="18"/>
                <w:szCs w:val="18"/>
              </w:rPr>
              <w:t>/</w:t>
            </w:r>
          </w:p>
        </w:tc>
        <w:tc>
          <w:tcPr>
            <w:tcW w:w="620" w:type="pct"/>
            <w:tcBorders>
              <w:top w:val="single" w:color="auto" w:sz="6" w:space="0"/>
              <w:left w:val="single" w:color="auto" w:sz="6" w:space="0"/>
              <w:bottom w:val="single" w:color="auto" w:sz="6" w:space="0"/>
              <w:right w:val="single" w:color="auto" w:sz="6" w:space="0"/>
            </w:tcBorders>
            <w:shd w:val="clear" w:color="auto" w:fill="auto"/>
            <w:vAlign w:val="bottom"/>
          </w:tcPr>
          <w:p>
            <w:pPr>
              <w:spacing w:line="360" w:lineRule="auto"/>
              <w:jc w:val="center"/>
              <w:rPr>
                <w:b/>
                <w:sz w:val="18"/>
                <w:szCs w:val="18"/>
              </w:rPr>
            </w:pPr>
            <w:r>
              <w:rPr>
                <w:rFonts w:hint="eastAsia"/>
                <w:b/>
                <w:sz w:val="18"/>
                <w:szCs w:val="18"/>
              </w:rPr>
              <w:t xml:space="preserve">0.0978 </w:t>
            </w:r>
          </w:p>
        </w:tc>
        <w:tc>
          <w:tcPr>
            <w:tcW w:w="568" w:type="pct"/>
            <w:tcBorders>
              <w:top w:val="single" w:color="auto" w:sz="6" w:space="0"/>
              <w:left w:val="single" w:color="auto" w:sz="6" w:space="0"/>
              <w:bottom w:val="single" w:color="auto" w:sz="6" w:space="0"/>
              <w:right w:val="single" w:color="auto" w:sz="6" w:space="0"/>
            </w:tcBorders>
            <w:shd w:val="clear" w:color="auto" w:fill="auto"/>
            <w:vAlign w:val="bottom"/>
          </w:tcPr>
          <w:p>
            <w:pPr>
              <w:spacing w:line="360" w:lineRule="auto"/>
              <w:jc w:val="center"/>
              <w:rPr>
                <w:b/>
                <w:sz w:val="18"/>
                <w:szCs w:val="18"/>
              </w:rPr>
            </w:pPr>
            <w:r>
              <w:rPr>
                <w:rFonts w:hint="eastAsia"/>
                <w:b/>
                <w:sz w:val="18"/>
                <w:szCs w:val="18"/>
              </w:rPr>
              <w:t xml:space="preserve">0.0282 </w:t>
            </w:r>
          </w:p>
        </w:tc>
        <w:tc>
          <w:tcPr>
            <w:tcW w:w="616" w:type="pct"/>
            <w:tcBorders>
              <w:top w:val="single" w:color="auto" w:sz="6" w:space="0"/>
              <w:left w:val="single" w:color="auto" w:sz="6" w:space="0"/>
              <w:bottom w:val="single" w:color="auto" w:sz="6" w:space="0"/>
              <w:right w:val="single" w:color="auto" w:sz="6" w:space="0"/>
            </w:tcBorders>
            <w:shd w:val="clear" w:color="auto" w:fill="auto"/>
            <w:vAlign w:val="bottom"/>
          </w:tcPr>
          <w:p>
            <w:pPr>
              <w:spacing w:line="360" w:lineRule="auto"/>
              <w:jc w:val="center"/>
              <w:rPr>
                <w:b/>
                <w:sz w:val="18"/>
                <w:szCs w:val="18"/>
              </w:rPr>
            </w:pPr>
            <w:r>
              <w:rPr>
                <w:rFonts w:hint="eastAsia"/>
                <w:b/>
                <w:sz w:val="18"/>
                <w:szCs w:val="18"/>
              </w:rPr>
              <w:t xml:space="preserve">11.6729 </w:t>
            </w:r>
          </w:p>
        </w:tc>
        <w:tc>
          <w:tcPr>
            <w:tcW w:w="616" w:type="pct"/>
            <w:tcBorders>
              <w:top w:val="single" w:color="auto" w:sz="6" w:space="0"/>
              <w:left w:val="single" w:color="auto" w:sz="6" w:space="0"/>
              <w:bottom w:val="single" w:color="auto" w:sz="6" w:space="0"/>
              <w:right w:val="single" w:color="auto" w:sz="6" w:space="0"/>
            </w:tcBorders>
            <w:shd w:val="clear" w:color="auto" w:fill="auto"/>
            <w:vAlign w:val="bottom"/>
          </w:tcPr>
          <w:p>
            <w:pPr>
              <w:spacing w:line="360" w:lineRule="auto"/>
              <w:jc w:val="center"/>
              <w:rPr>
                <w:b/>
                <w:sz w:val="18"/>
                <w:szCs w:val="18"/>
              </w:rPr>
            </w:pPr>
            <w:r>
              <w:rPr>
                <w:rFonts w:hint="eastAsia"/>
                <w:b/>
                <w:sz w:val="18"/>
                <w:szCs w:val="18"/>
              </w:rPr>
              <w:t xml:space="preserve">0.9029 </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16" w:type="pct"/>
            <w:vAlign w:val="center"/>
          </w:tcPr>
          <w:p>
            <w:pPr>
              <w:spacing w:line="360" w:lineRule="auto"/>
              <w:jc w:val="center"/>
              <w:rPr>
                <w:b/>
                <w:sz w:val="18"/>
                <w:szCs w:val="18"/>
              </w:rPr>
            </w:pPr>
            <w:r>
              <w:rPr>
                <w:b/>
                <w:sz w:val="18"/>
                <w:szCs w:val="18"/>
              </w:rPr>
              <w:t>M</w:t>
            </w:r>
            <w:r>
              <w:rPr>
                <w:rFonts w:hint="eastAsia"/>
                <w:b/>
                <w:sz w:val="18"/>
                <w:szCs w:val="18"/>
              </w:rPr>
              <w:t>in</w:t>
            </w:r>
          </w:p>
        </w:tc>
        <w:tc>
          <w:tcPr>
            <w:tcW w:w="568" w:type="pct"/>
            <w:tcBorders>
              <w:top w:val="single" w:color="auto" w:sz="6" w:space="0"/>
            </w:tcBorders>
            <w:vAlign w:val="center"/>
          </w:tcPr>
          <w:p>
            <w:pPr>
              <w:spacing w:line="360" w:lineRule="auto"/>
              <w:jc w:val="center"/>
              <w:rPr>
                <w:b/>
                <w:sz w:val="18"/>
                <w:szCs w:val="18"/>
              </w:rPr>
            </w:pPr>
            <w:r>
              <w:rPr>
                <w:b/>
                <w:sz w:val="18"/>
                <w:szCs w:val="18"/>
              </w:rPr>
              <w:t>0.057</w:t>
            </w:r>
          </w:p>
        </w:tc>
        <w:tc>
          <w:tcPr>
            <w:tcW w:w="628" w:type="pct"/>
            <w:tcBorders>
              <w:top w:val="single" w:color="auto" w:sz="6" w:space="0"/>
            </w:tcBorders>
            <w:vAlign w:val="center"/>
          </w:tcPr>
          <w:p>
            <w:pPr>
              <w:spacing w:line="360" w:lineRule="auto"/>
              <w:jc w:val="center"/>
              <w:rPr>
                <w:b/>
                <w:sz w:val="18"/>
                <w:szCs w:val="18"/>
              </w:rPr>
            </w:pPr>
            <w:r>
              <w:rPr>
                <w:b/>
                <w:sz w:val="18"/>
                <w:szCs w:val="18"/>
              </w:rPr>
              <w:t>0.0819</w:t>
            </w:r>
          </w:p>
        </w:tc>
        <w:tc>
          <w:tcPr>
            <w:tcW w:w="568" w:type="pct"/>
            <w:tcBorders>
              <w:top w:val="single" w:color="auto" w:sz="6" w:space="0"/>
            </w:tcBorders>
            <w:vAlign w:val="center"/>
          </w:tcPr>
          <w:p>
            <w:pPr>
              <w:spacing w:line="360" w:lineRule="auto"/>
              <w:jc w:val="center"/>
              <w:rPr>
                <w:b/>
                <w:sz w:val="18"/>
                <w:szCs w:val="18"/>
              </w:rPr>
            </w:pPr>
            <w:r>
              <w:rPr>
                <w:rFonts w:hint="eastAsia"/>
                <w:b/>
                <w:sz w:val="18"/>
                <w:szCs w:val="18"/>
              </w:rPr>
              <w:t>/</w:t>
            </w:r>
          </w:p>
        </w:tc>
        <w:tc>
          <w:tcPr>
            <w:tcW w:w="620" w:type="pct"/>
            <w:tcBorders>
              <w:top w:val="single" w:color="auto" w:sz="6" w:space="0"/>
            </w:tcBorders>
            <w:vAlign w:val="center"/>
          </w:tcPr>
          <w:p>
            <w:pPr>
              <w:spacing w:line="360" w:lineRule="auto"/>
              <w:jc w:val="center"/>
              <w:rPr>
                <w:b/>
                <w:sz w:val="18"/>
                <w:szCs w:val="18"/>
              </w:rPr>
            </w:pPr>
            <w:r>
              <w:rPr>
                <w:b/>
                <w:sz w:val="18"/>
                <w:szCs w:val="18"/>
              </w:rPr>
              <w:t>0.0105</w:t>
            </w:r>
          </w:p>
        </w:tc>
        <w:tc>
          <w:tcPr>
            <w:tcW w:w="568" w:type="pct"/>
            <w:tcBorders>
              <w:top w:val="single" w:color="auto" w:sz="6" w:space="0"/>
            </w:tcBorders>
            <w:vAlign w:val="center"/>
          </w:tcPr>
          <w:p>
            <w:pPr>
              <w:spacing w:line="360" w:lineRule="auto"/>
              <w:jc w:val="center"/>
              <w:rPr>
                <w:b/>
                <w:sz w:val="18"/>
                <w:szCs w:val="18"/>
              </w:rPr>
            </w:pPr>
            <w:r>
              <w:rPr>
                <w:b/>
                <w:sz w:val="18"/>
                <w:szCs w:val="18"/>
              </w:rPr>
              <w:t>0.0028</w:t>
            </w:r>
          </w:p>
        </w:tc>
        <w:tc>
          <w:tcPr>
            <w:tcW w:w="616" w:type="pct"/>
            <w:tcBorders>
              <w:top w:val="single" w:color="auto" w:sz="6" w:space="0"/>
            </w:tcBorders>
            <w:vAlign w:val="center"/>
          </w:tcPr>
          <w:p>
            <w:pPr>
              <w:spacing w:line="360" w:lineRule="auto"/>
              <w:jc w:val="center"/>
              <w:rPr>
                <w:b/>
                <w:sz w:val="18"/>
                <w:szCs w:val="18"/>
              </w:rPr>
            </w:pPr>
            <w:r>
              <w:rPr>
                <w:b/>
                <w:sz w:val="18"/>
                <w:szCs w:val="18"/>
              </w:rPr>
              <w:t>2.1604</w:t>
            </w:r>
          </w:p>
        </w:tc>
        <w:tc>
          <w:tcPr>
            <w:tcW w:w="616" w:type="pct"/>
            <w:tcBorders>
              <w:top w:val="single" w:color="auto" w:sz="6" w:space="0"/>
            </w:tcBorders>
            <w:vAlign w:val="center"/>
          </w:tcPr>
          <w:p>
            <w:pPr>
              <w:spacing w:line="360" w:lineRule="auto"/>
              <w:jc w:val="center"/>
              <w:rPr>
                <w:b/>
                <w:sz w:val="18"/>
                <w:szCs w:val="18"/>
              </w:rPr>
            </w:pPr>
            <w:r>
              <w:rPr>
                <w:b/>
                <w:sz w:val="18"/>
                <w:szCs w:val="18"/>
              </w:rPr>
              <w:t>0.3416</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16" w:type="pct"/>
            <w:vAlign w:val="center"/>
          </w:tcPr>
          <w:p>
            <w:pPr>
              <w:spacing w:line="360" w:lineRule="auto"/>
              <w:jc w:val="center"/>
              <w:rPr>
                <w:b/>
                <w:sz w:val="18"/>
                <w:szCs w:val="18"/>
              </w:rPr>
            </w:pPr>
            <w:r>
              <w:rPr>
                <w:b/>
                <w:sz w:val="18"/>
                <w:szCs w:val="18"/>
              </w:rPr>
              <w:t>Max</w:t>
            </w:r>
          </w:p>
        </w:tc>
        <w:tc>
          <w:tcPr>
            <w:tcW w:w="568" w:type="pct"/>
            <w:vAlign w:val="center"/>
          </w:tcPr>
          <w:p>
            <w:pPr>
              <w:spacing w:line="360" w:lineRule="auto"/>
              <w:jc w:val="center"/>
              <w:rPr>
                <w:b/>
                <w:sz w:val="18"/>
                <w:szCs w:val="18"/>
              </w:rPr>
            </w:pPr>
            <w:r>
              <w:rPr>
                <w:b/>
                <w:sz w:val="18"/>
                <w:szCs w:val="18"/>
              </w:rPr>
              <w:t>0.307</w:t>
            </w:r>
          </w:p>
        </w:tc>
        <w:tc>
          <w:tcPr>
            <w:tcW w:w="628" w:type="pct"/>
            <w:vAlign w:val="center"/>
          </w:tcPr>
          <w:p>
            <w:pPr>
              <w:spacing w:line="360" w:lineRule="auto"/>
              <w:jc w:val="center"/>
              <w:rPr>
                <w:b/>
                <w:sz w:val="18"/>
                <w:szCs w:val="18"/>
              </w:rPr>
            </w:pPr>
            <w:r>
              <w:rPr>
                <w:b/>
                <w:sz w:val="18"/>
                <w:szCs w:val="18"/>
              </w:rPr>
              <w:t>0.7288</w:t>
            </w:r>
          </w:p>
        </w:tc>
        <w:tc>
          <w:tcPr>
            <w:tcW w:w="568" w:type="pct"/>
            <w:vAlign w:val="center"/>
          </w:tcPr>
          <w:p>
            <w:pPr>
              <w:spacing w:line="360" w:lineRule="auto"/>
              <w:jc w:val="center"/>
              <w:rPr>
                <w:b/>
                <w:sz w:val="18"/>
                <w:szCs w:val="18"/>
              </w:rPr>
            </w:pPr>
            <w:r>
              <w:rPr>
                <w:rFonts w:hint="eastAsia"/>
                <w:b/>
                <w:sz w:val="18"/>
                <w:szCs w:val="18"/>
              </w:rPr>
              <w:t>/</w:t>
            </w:r>
          </w:p>
        </w:tc>
        <w:tc>
          <w:tcPr>
            <w:tcW w:w="620" w:type="pct"/>
            <w:vAlign w:val="center"/>
          </w:tcPr>
          <w:p>
            <w:pPr>
              <w:spacing w:line="360" w:lineRule="auto"/>
              <w:jc w:val="center"/>
              <w:rPr>
                <w:b/>
                <w:sz w:val="18"/>
                <w:szCs w:val="18"/>
              </w:rPr>
            </w:pPr>
            <w:r>
              <w:rPr>
                <w:b/>
                <w:sz w:val="18"/>
                <w:szCs w:val="18"/>
              </w:rPr>
              <w:t>0.3054</w:t>
            </w:r>
          </w:p>
        </w:tc>
        <w:tc>
          <w:tcPr>
            <w:tcW w:w="568" w:type="pct"/>
            <w:vAlign w:val="center"/>
          </w:tcPr>
          <w:p>
            <w:pPr>
              <w:spacing w:line="360" w:lineRule="auto"/>
              <w:jc w:val="center"/>
              <w:rPr>
                <w:b/>
                <w:sz w:val="18"/>
                <w:szCs w:val="18"/>
              </w:rPr>
            </w:pPr>
            <w:r>
              <w:rPr>
                <w:b/>
                <w:sz w:val="18"/>
                <w:szCs w:val="18"/>
              </w:rPr>
              <w:t>0.0476</w:t>
            </w:r>
          </w:p>
        </w:tc>
        <w:tc>
          <w:tcPr>
            <w:tcW w:w="616" w:type="pct"/>
            <w:vAlign w:val="center"/>
          </w:tcPr>
          <w:p>
            <w:pPr>
              <w:spacing w:line="360" w:lineRule="auto"/>
              <w:jc w:val="center"/>
              <w:rPr>
                <w:b/>
                <w:sz w:val="18"/>
                <w:szCs w:val="18"/>
              </w:rPr>
            </w:pPr>
            <w:r>
              <w:rPr>
                <w:b/>
                <w:sz w:val="18"/>
                <w:szCs w:val="18"/>
              </w:rPr>
              <w:t>21.65</w:t>
            </w:r>
          </w:p>
        </w:tc>
        <w:tc>
          <w:tcPr>
            <w:tcW w:w="616" w:type="pct"/>
            <w:vAlign w:val="center"/>
          </w:tcPr>
          <w:p>
            <w:pPr>
              <w:spacing w:line="360" w:lineRule="auto"/>
              <w:jc w:val="center"/>
              <w:rPr>
                <w:b/>
                <w:sz w:val="18"/>
                <w:szCs w:val="18"/>
              </w:rPr>
            </w:pPr>
            <w:r>
              <w:rPr>
                <w:b/>
                <w:sz w:val="18"/>
                <w:szCs w:val="18"/>
              </w:rPr>
              <w:t>1.6974</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16" w:type="pct"/>
            <w:vAlign w:val="center"/>
          </w:tcPr>
          <w:p>
            <w:pPr>
              <w:adjustRightInd w:val="0"/>
              <w:snapToGrid w:val="0"/>
              <w:spacing w:line="360" w:lineRule="auto"/>
              <w:jc w:val="center"/>
              <w:rPr>
                <w:b/>
                <w:sz w:val="18"/>
                <w:szCs w:val="18"/>
              </w:rPr>
            </w:pPr>
            <w:r>
              <w:rPr>
                <w:rFonts w:hint="eastAsia"/>
                <w:b/>
                <w:sz w:val="18"/>
                <w:szCs w:val="18"/>
              </w:rPr>
              <w:t>检测方法</w:t>
            </w:r>
          </w:p>
        </w:tc>
        <w:tc>
          <w:tcPr>
            <w:tcW w:w="568" w:type="pct"/>
            <w:vAlign w:val="center"/>
          </w:tcPr>
          <w:p>
            <w:pPr>
              <w:adjustRightInd w:val="0"/>
              <w:snapToGrid w:val="0"/>
              <w:spacing w:line="360" w:lineRule="auto"/>
              <w:jc w:val="center"/>
              <w:rPr>
                <w:sz w:val="18"/>
                <w:szCs w:val="18"/>
              </w:rPr>
            </w:pPr>
            <w:r>
              <w:rPr>
                <w:sz w:val="18"/>
                <w:szCs w:val="18"/>
              </w:rPr>
              <w:t>GB5009.12</w:t>
            </w:r>
          </w:p>
        </w:tc>
        <w:tc>
          <w:tcPr>
            <w:tcW w:w="628" w:type="pct"/>
            <w:vAlign w:val="center"/>
          </w:tcPr>
          <w:p>
            <w:pPr>
              <w:adjustRightInd w:val="0"/>
              <w:snapToGrid w:val="0"/>
              <w:spacing w:line="360" w:lineRule="auto"/>
              <w:jc w:val="center"/>
              <w:rPr>
                <w:sz w:val="18"/>
                <w:szCs w:val="18"/>
              </w:rPr>
            </w:pPr>
            <w:r>
              <w:rPr>
                <w:sz w:val="18"/>
                <w:szCs w:val="18"/>
              </w:rPr>
              <w:t>GB5009.11</w:t>
            </w:r>
          </w:p>
        </w:tc>
        <w:tc>
          <w:tcPr>
            <w:tcW w:w="568" w:type="pct"/>
            <w:vAlign w:val="center"/>
          </w:tcPr>
          <w:p>
            <w:pPr>
              <w:adjustRightInd w:val="0"/>
              <w:snapToGrid w:val="0"/>
              <w:spacing w:line="360" w:lineRule="auto"/>
              <w:jc w:val="center"/>
              <w:rPr>
                <w:sz w:val="18"/>
                <w:szCs w:val="18"/>
              </w:rPr>
            </w:pPr>
            <w:r>
              <w:rPr>
                <w:sz w:val="18"/>
                <w:szCs w:val="18"/>
              </w:rPr>
              <w:t>GB5009.17</w:t>
            </w:r>
          </w:p>
        </w:tc>
        <w:tc>
          <w:tcPr>
            <w:tcW w:w="620" w:type="pct"/>
            <w:vAlign w:val="center"/>
          </w:tcPr>
          <w:p>
            <w:pPr>
              <w:adjustRightInd w:val="0"/>
              <w:snapToGrid w:val="0"/>
              <w:spacing w:line="360" w:lineRule="auto"/>
              <w:jc w:val="center"/>
              <w:rPr>
                <w:sz w:val="18"/>
                <w:szCs w:val="18"/>
              </w:rPr>
            </w:pPr>
            <w:r>
              <w:rPr>
                <w:sz w:val="18"/>
                <w:szCs w:val="18"/>
              </w:rPr>
              <w:t>GB5009.15</w:t>
            </w:r>
          </w:p>
        </w:tc>
        <w:tc>
          <w:tcPr>
            <w:tcW w:w="568" w:type="pct"/>
            <w:vAlign w:val="center"/>
          </w:tcPr>
          <w:p>
            <w:pPr>
              <w:adjustRightInd w:val="0"/>
              <w:snapToGrid w:val="0"/>
              <w:spacing w:line="360" w:lineRule="auto"/>
              <w:jc w:val="center"/>
              <w:rPr>
                <w:sz w:val="18"/>
                <w:szCs w:val="18"/>
              </w:rPr>
            </w:pPr>
            <w:r>
              <w:rPr>
                <w:sz w:val="18"/>
                <w:szCs w:val="18"/>
              </w:rPr>
              <w:t>GB5009.16</w:t>
            </w:r>
          </w:p>
        </w:tc>
        <w:tc>
          <w:tcPr>
            <w:tcW w:w="616" w:type="pct"/>
            <w:vAlign w:val="center"/>
          </w:tcPr>
          <w:p>
            <w:pPr>
              <w:adjustRightInd w:val="0"/>
              <w:snapToGrid w:val="0"/>
              <w:spacing w:line="360" w:lineRule="auto"/>
              <w:jc w:val="center"/>
              <w:rPr>
                <w:sz w:val="18"/>
                <w:szCs w:val="18"/>
              </w:rPr>
            </w:pPr>
            <w:r>
              <w:rPr>
                <w:sz w:val="18"/>
                <w:szCs w:val="18"/>
              </w:rPr>
              <w:t>GB5009.123</w:t>
            </w:r>
          </w:p>
        </w:tc>
        <w:tc>
          <w:tcPr>
            <w:tcW w:w="616" w:type="pct"/>
            <w:vAlign w:val="center"/>
          </w:tcPr>
          <w:p>
            <w:pPr>
              <w:adjustRightInd w:val="0"/>
              <w:snapToGrid w:val="0"/>
              <w:spacing w:line="360" w:lineRule="auto"/>
              <w:jc w:val="center"/>
              <w:rPr>
                <w:sz w:val="18"/>
                <w:szCs w:val="18"/>
              </w:rPr>
            </w:pPr>
            <w:r>
              <w:rPr>
                <w:sz w:val="18"/>
                <w:szCs w:val="18"/>
              </w:rPr>
              <w:t>GB5009.138</w:t>
            </w:r>
          </w:p>
        </w:tc>
      </w:tr>
    </w:tbl>
    <w:p>
      <w:pPr>
        <w:adjustRightInd w:val="0"/>
        <w:snapToGrid w:val="0"/>
        <w:spacing w:line="360" w:lineRule="auto"/>
        <w:ind w:firstLine="361" w:firstLineChars="200"/>
        <w:rPr>
          <w:b/>
          <w:sz w:val="18"/>
          <w:szCs w:val="18"/>
        </w:rPr>
      </w:pPr>
      <w:r>
        <w:rPr>
          <w:rFonts w:hint="eastAsia"/>
          <w:b/>
          <w:sz w:val="18"/>
          <w:szCs w:val="18"/>
        </w:rPr>
        <w:t>注：“</w:t>
      </w:r>
      <w:r>
        <w:rPr>
          <w:b/>
          <w:sz w:val="18"/>
          <w:szCs w:val="18"/>
        </w:rPr>
        <w:t>ND</w:t>
      </w:r>
      <w:r>
        <w:rPr>
          <w:rFonts w:hint="eastAsia"/>
          <w:b/>
          <w:sz w:val="18"/>
          <w:szCs w:val="18"/>
        </w:rPr>
        <w:t>”表示未检出。</w:t>
      </w:r>
    </w:p>
    <w:p>
      <w:pPr>
        <w:adjustRightInd w:val="0"/>
        <w:snapToGrid w:val="0"/>
        <w:spacing w:line="360" w:lineRule="auto"/>
        <w:ind w:firstLine="420" w:firstLineChars="200"/>
        <w:rPr>
          <w:b/>
          <w:szCs w:val="21"/>
        </w:rPr>
      </w:pPr>
      <w:r>
        <w:rPr>
          <w:rFonts w:hint="eastAsia"/>
          <w:szCs w:val="21"/>
        </w:rPr>
        <w:t>在贵州民间，铁皮石斛叶以泡茶饮用为主，虽也有作为餐桌上的菜谱，但日使用量远低于叶类蔬菜食用量，因此在标准制定过程中，主要参照茶叶类国家标准、国家农业行业标准及地方标准以及根据2</w:t>
      </w:r>
      <w:r>
        <w:rPr>
          <w:szCs w:val="21"/>
        </w:rPr>
        <w:t>1</w:t>
      </w:r>
      <w:r>
        <w:rPr>
          <w:rFonts w:hint="eastAsia"/>
          <w:szCs w:val="21"/>
        </w:rPr>
        <w:t>批样品的检查结果制定的。</w:t>
      </w:r>
    </w:p>
    <w:p>
      <w:pPr>
        <w:adjustRightInd w:val="0"/>
        <w:snapToGrid w:val="0"/>
        <w:spacing w:line="360" w:lineRule="auto"/>
        <w:ind w:left="420"/>
        <w:rPr>
          <w:b/>
          <w:szCs w:val="21"/>
        </w:rPr>
      </w:pPr>
      <w:r>
        <w:rPr>
          <w:rFonts w:hint="eastAsia"/>
          <w:b/>
          <w:szCs w:val="21"/>
        </w:rPr>
        <w:t>（1）铅</w:t>
      </w:r>
    </w:p>
    <w:p>
      <w:pPr>
        <w:adjustRightInd w:val="0"/>
        <w:snapToGrid w:val="0"/>
        <w:spacing w:line="360" w:lineRule="auto"/>
        <w:ind w:firstLine="420" w:firstLineChars="200"/>
        <w:rPr>
          <w:szCs w:val="21"/>
        </w:rPr>
      </w:pPr>
      <w:r>
        <w:rPr>
          <w:rFonts w:hint="eastAsia"/>
          <w:szCs w:val="21"/>
        </w:rPr>
        <w:t>现行《食品安全国家标准</w:t>
      </w:r>
      <w:r>
        <w:rPr>
          <w:szCs w:val="21"/>
        </w:rPr>
        <w:t xml:space="preserve"> </w:t>
      </w:r>
      <w:r>
        <w:rPr>
          <w:rFonts w:hint="eastAsia"/>
          <w:szCs w:val="21"/>
        </w:rPr>
        <w:t>食品中污染物限量》</w:t>
      </w:r>
      <w:r>
        <w:rPr>
          <w:szCs w:val="21"/>
        </w:rPr>
        <w:t>（GB 2762-2017）</w:t>
      </w:r>
      <w:r>
        <w:rPr>
          <w:rFonts w:hint="eastAsia"/>
          <w:szCs w:val="21"/>
        </w:rPr>
        <w:t>中茶叶、《食品安全国家标准</w:t>
      </w:r>
      <w:r>
        <w:rPr>
          <w:szCs w:val="21"/>
        </w:rPr>
        <w:t xml:space="preserve"> </w:t>
      </w:r>
      <w:r>
        <w:rPr>
          <w:rFonts w:hint="eastAsia"/>
          <w:szCs w:val="21"/>
        </w:rPr>
        <w:t>保健食品》</w:t>
      </w:r>
      <w:r>
        <w:rPr>
          <w:szCs w:val="21"/>
        </w:rPr>
        <w:t>（GB 16740-2014）</w:t>
      </w:r>
      <w:r>
        <w:rPr>
          <w:rFonts w:hint="eastAsia"/>
          <w:szCs w:val="21"/>
        </w:rPr>
        <w:t>中袋泡茶剂以及</w:t>
      </w:r>
      <w:r>
        <w:rPr>
          <w:rFonts w:hint="eastAsia" w:eastAsiaTheme="minorEastAsia"/>
          <w:szCs w:val="21"/>
        </w:rPr>
        <w:t>《</w:t>
      </w:r>
      <w:r>
        <w:rPr>
          <w:rFonts w:hint="eastAsia"/>
          <w:szCs w:val="21"/>
        </w:rPr>
        <w:t xml:space="preserve">中华人民共和国供销合作行业标准 </w:t>
      </w:r>
      <w:r>
        <w:rPr>
          <w:rFonts w:hint="eastAsia" w:eastAsiaTheme="minorEastAsia"/>
          <w:szCs w:val="21"/>
        </w:rPr>
        <w:t>代用茶》</w:t>
      </w:r>
      <w:r>
        <w:rPr>
          <w:rFonts w:eastAsiaTheme="minorEastAsia"/>
          <w:szCs w:val="21"/>
        </w:rPr>
        <w:t>（GH/T 1091）</w:t>
      </w:r>
      <w:r>
        <w:rPr>
          <w:rFonts w:hint="eastAsia"/>
          <w:szCs w:val="21"/>
        </w:rPr>
        <w:t>中的铅限量均≤5.0mg/kg以及《贵州省地方标准 都匀毛尖》（</w:t>
      </w:r>
      <w:r>
        <w:rPr>
          <w:szCs w:val="21"/>
        </w:rPr>
        <w:t>DB52/T 433</w:t>
      </w:r>
      <w:r>
        <w:rPr>
          <w:rFonts w:hint="eastAsia"/>
          <w:szCs w:val="21"/>
        </w:rPr>
        <w:t>-</w:t>
      </w:r>
      <w:r>
        <w:rPr>
          <w:szCs w:val="21"/>
        </w:rPr>
        <w:t>2018</w:t>
      </w:r>
      <w:r>
        <w:rPr>
          <w:rFonts w:hint="eastAsia"/>
          <w:szCs w:val="21"/>
        </w:rPr>
        <w:t>）中的铅限量≤</w:t>
      </w:r>
      <w:r>
        <w:rPr>
          <w:szCs w:val="21"/>
        </w:rPr>
        <w:t>4</w:t>
      </w:r>
      <w:r>
        <w:rPr>
          <w:rFonts w:hint="eastAsia"/>
          <w:szCs w:val="21"/>
        </w:rPr>
        <w:t>.0mg/kg。依据2</w:t>
      </w:r>
      <w:r>
        <w:rPr>
          <w:szCs w:val="21"/>
        </w:rPr>
        <w:t>1</w:t>
      </w:r>
      <w:r>
        <w:rPr>
          <w:rFonts w:hint="eastAsia"/>
          <w:szCs w:val="21"/>
        </w:rPr>
        <w:t>批样品的检查结果分析，其最大值为0.307 mg/Kg，最小值为0.057 mg/Kg，平均值为0</w:t>
      </w:r>
      <w:r>
        <w:rPr>
          <w:szCs w:val="21"/>
        </w:rPr>
        <w:t>.1574</w:t>
      </w:r>
      <w:r>
        <w:rPr>
          <w:rFonts w:hint="eastAsia"/>
          <w:szCs w:val="21"/>
        </w:rPr>
        <w:t xml:space="preserve"> mg/Kg，综合考虑铁皮石斛叶的其他因素，本标准规定铅限量为≤</w:t>
      </w:r>
      <w:r>
        <w:rPr>
          <w:szCs w:val="21"/>
        </w:rPr>
        <w:t>3.5mg/kg</w:t>
      </w:r>
      <w:r>
        <w:rPr>
          <w:rFonts w:hint="eastAsia"/>
          <w:szCs w:val="21"/>
        </w:rPr>
        <w:t>。根据本标准制定的推荐食用量每日≤6g。若以直接食用方式食用铁皮石斛叶，折算后每日的铅摄入量为21</w:t>
      </w:r>
      <w:r>
        <w:rPr>
          <w:szCs w:val="21"/>
        </w:rPr>
        <w:t>μ</w:t>
      </w:r>
      <w:r>
        <w:rPr>
          <w:rFonts w:hint="eastAsia"/>
          <w:szCs w:val="21"/>
        </w:rPr>
        <w:t>g，若以60</w:t>
      </w:r>
      <w:r>
        <w:rPr>
          <w:szCs w:val="21"/>
        </w:rPr>
        <w:t xml:space="preserve"> </w:t>
      </w:r>
      <w:r>
        <w:rPr>
          <w:rFonts w:hint="eastAsia"/>
          <w:szCs w:val="21"/>
        </w:rPr>
        <w:t>kg体重成人，按1993年食品添加剂和污染物联合专家委员会（JECFA）建议每人每周允许摄入量（PTWI）为25</w:t>
      </w:r>
      <w:r>
        <w:rPr>
          <w:szCs w:val="21"/>
        </w:rPr>
        <w:t>μ</w:t>
      </w:r>
      <w:r>
        <w:rPr>
          <w:rFonts w:hint="eastAsia"/>
          <w:szCs w:val="21"/>
        </w:rPr>
        <w:t>g/</w:t>
      </w:r>
      <w:r>
        <w:rPr>
          <w:szCs w:val="21"/>
        </w:rPr>
        <w:t>(</w:t>
      </w:r>
      <w:r>
        <w:rPr>
          <w:rFonts w:hint="eastAsia"/>
          <w:szCs w:val="21"/>
        </w:rPr>
        <w:t>kg.bw</w:t>
      </w:r>
      <w:r>
        <w:rPr>
          <w:szCs w:val="21"/>
        </w:rPr>
        <w:t>)</w:t>
      </w:r>
      <w:r>
        <w:rPr>
          <w:rFonts w:hint="eastAsia"/>
          <w:szCs w:val="21"/>
        </w:rPr>
        <w:t>计算，仅为十分之一。因此，本标准规定铅限量为≤</w:t>
      </w:r>
      <w:r>
        <w:rPr>
          <w:szCs w:val="21"/>
        </w:rPr>
        <w:t>3.5 mg/kg</w:t>
      </w:r>
      <w:r>
        <w:rPr>
          <w:rFonts w:hint="eastAsia"/>
          <w:szCs w:val="21"/>
        </w:rPr>
        <w:t>可以保证食用安全。</w:t>
      </w:r>
    </w:p>
    <w:p>
      <w:pPr>
        <w:adjustRightInd w:val="0"/>
        <w:snapToGrid w:val="0"/>
        <w:spacing w:line="360" w:lineRule="auto"/>
        <w:ind w:left="420"/>
        <w:rPr>
          <w:b/>
          <w:szCs w:val="21"/>
        </w:rPr>
      </w:pPr>
      <w:r>
        <w:rPr>
          <w:rFonts w:hint="eastAsia"/>
          <w:b/>
          <w:szCs w:val="21"/>
        </w:rPr>
        <w:t>（</w:t>
      </w:r>
      <w:r>
        <w:rPr>
          <w:b/>
          <w:szCs w:val="21"/>
        </w:rPr>
        <w:t>2</w:t>
      </w:r>
      <w:r>
        <w:rPr>
          <w:rFonts w:hint="eastAsia"/>
          <w:b/>
          <w:szCs w:val="21"/>
        </w:rPr>
        <w:t>）镉</w:t>
      </w:r>
    </w:p>
    <w:p>
      <w:pPr>
        <w:adjustRightInd w:val="0"/>
        <w:snapToGrid w:val="0"/>
        <w:spacing w:line="360" w:lineRule="auto"/>
        <w:ind w:firstLine="420" w:firstLineChars="200"/>
        <w:rPr>
          <w:szCs w:val="21"/>
        </w:rPr>
      </w:pPr>
      <w:r>
        <w:rPr>
          <w:rFonts w:hint="eastAsia"/>
          <w:szCs w:val="21"/>
        </w:rPr>
        <w:t>现行的食品安全国家标准未对茶叶中镉规定限量要求，《中华人民共和国农业行业标准 茶叶中铬、镉、汞、砷及氟化物限量》（N</w:t>
      </w:r>
      <w:r>
        <w:rPr>
          <w:szCs w:val="21"/>
        </w:rPr>
        <w:t>Y 659</w:t>
      </w:r>
      <w:r>
        <w:rPr>
          <w:rFonts w:hint="eastAsia"/>
          <w:szCs w:val="21"/>
        </w:rPr>
        <w:t>-</w:t>
      </w:r>
      <w:r>
        <w:rPr>
          <w:szCs w:val="21"/>
        </w:rPr>
        <w:t>2003</w:t>
      </w:r>
      <w:r>
        <w:rPr>
          <w:rFonts w:hint="eastAsia"/>
          <w:szCs w:val="21"/>
        </w:rPr>
        <w:t>）中的镉限量≤</w:t>
      </w:r>
      <w:r>
        <w:rPr>
          <w:szCs w:val="21"/>
        </w:rPr>
        <w:t>1</w:t>
      </w:r>
      <w:r>
        <w:rPr>
          <w:rFonts w:hint="eastAsia"/>
          <w:szCs w:val="21"/>
        </w:rPr>
        <w:t>.0</w:t>
      </w:r>
      <w:r>
        <w:rPr>
          <w:szCs w:val="21"/>
        </w:rPr>
        <w:t xml:space="preserve"> </w:t>
      </w:r>
      <w:r>
        <w:rPr>
          <w:rFonts w:hint="eastAsia"/>
          <w:szCs w:val="21"/>
        </w:rPr>
        <w:t>mg/kg，《中华人民共和国农业行业标准 绿色食品 代用茶》</w:t>
      </w:r>
      <w:r>
        <w:rPr>
          <w:szCs w:val="21"/>
        </w:rPr>
        <w:t>（NY/T 2140）</w:t>
      </w:r>
      <w:r>
        <w:rPr>
          <w:rFonts w:hint="eastAsia"/>
          <w:szCs w:val="21"/>
        </w:rPr>
        <w:t>和《中华人民共和国供销合作行业标准 代用茶》</w:t>
      </w:r>
      <w:r>
        <w:rPr>
          <w:szCs w:val="21"/>
        </w:rPr>
        <w:t>（GH/T 1091）</w:t>
      </w:r>
      <w:r>
        <w:rPr>
          <w:rFonts w:hint="eastAsia"/>
          <w:szCs w:val="21"/>
        </w:rPr>
        <w:t>中的镉限量≤</w:t>
      </w:r>
      <w:r>
        <w:rPr>
          <w:szCs w:val="21"/>
        </w:rPr>
        <w:t xml:space="preserve">0.5 </w:t>
      </w:r>
      <w:r>
        <w:rPr>
          <w:rFonts w:hint="eastAsia"/>
          <w:szCs w:val="21"/>
        </w:rPr>
        <w:t>mg/kg。依据2</w:t>
      </w:r>
      <w:r>
        <w:rPr>
          <w:szCs w:val="21"/>
        </w:rPr>
        <w:t>1</w:t>
      </w:r>
      <w:r>
        <w:rPr>
          <w:rFonts w:hint="eastAsia"/>
          <w:szCs w:val="21"/>
        </w:rPr>
        <w:t>批样品的检查结果分析，其最大值为</w:t>
      </w:r>
      <w:r>
        <w:rPr>
          <w:szCs w:val="21"/>
        </w:rPr>
        <w:t>0.3054</w:t>
      </w:r>
      <w:r>
        <w:rPr>
          <w:rFonts w:hint="eastAsia"/>
          <w:szCs w:val="21"/>
        </w:rPr>
        <w:t xml:space="preserve"> mg/kg，最小值为</w:t>
      </w:r>
      <w:r>
        <w:rPr>
          <w:szCs w:val="21"/>
        </w:rPr>
        <w:t xml:space="preserve">0.0105 </w:t>
      </w:r>
      <w:r>
        <w:rPr>
          <w:rFonts w:hint="eastAsia"/>
          <w:szCs w:val="21"/>
        </w:rPr>
        <w:t>mg/Kg，平均值为</w:t>
      </w:r>
      <w:r>
        <w:rPr>
          <w:szCs w:val="21"/>
        </w:rPr>
        <w:t xml:space="preserve">0.0978 </w:t>
      </w:r>
      <w:r>
        <w:rPr>
          <w:rFonts w:hint="eastAsia"/>
          <w:szCs w:val="21"/>
        </w:rPr>
        <w:t>mg/ kg，综合考虑铁皮石斛叶的其他因素，本标准规定镉限量为≤</w:t>
      </w:r>
      <w:r>
        <w:rPr>
          <w:szCs w:val="21"/>
        </w:rPr>
        <w:t>0.5mg/kg</w:t>
      </w:r>
      <w:r>
        <w:rPr>
          <w:rFonts w:hint="eastAsia"/>
          <w:szCs w:val="21"/>
        </w:rPr>
        <w:t>。根据本标准制定的推荐食用量每日≤6g，若以直接食用方式食用铁皮石斛叶，折算后每日的镉摄入量为3</w:t>
      </w:r>
      <w:r>
        <w:rPr>
          <w:szCs w:val="21"/>
        </w:rPr>
        <w:t>μ</w:t>
      </w:r>
      <w:r>
        <w:rPr>
          <w:rFonts w:hint="eastAsia"/>
          <w:szCs w:val="21"/>
        </w:rPr>
        <w:t>g。若以60kg体重成人，按1993年食品添加剂和污染物联合专家委员会（JECFA）建议每人每周允许摄入量（PTWI）为25</w:t>
      </w:r>
      <w:r>
        <w:rPr>
          <w:szCs w:val="21"/>
        </w:rPr>
        <w:t>μ</w:t>
      </w:r>
      <w:r>
        <w:rPr>
          <w:rFonts w:hint="eastAsia"/>
          <w:szCs w:val="21"/>
        </w:rPr>
        <w:t>g/</w:t>
      </w:r>
      <w:r>
        <w:rPr>
          <w:szCs w:val="21"/>
        </w:rPr>
        <w:t>(</w:t>
      </w:r>
      <w:r>
        <w:rPr>
          <w:rFonts w:hint="eastAsia"/>
          <w:szCs w:val="21"/>
        </w:rPr>
        <w:t>kg.bw</w:t>
      </w:r>
      <w:r>
        <w:rPr>
          <w:szCs w:val="21"/>
        </w:rPr>
        <w:t>)</w:t>
      </w:r>
      <w:r>
        <w:rPr>
          <w:rFonts w:hint="eastAsia"/>
          <w:szCs w:val="21"/>
        </w:rPr>
        <w:t>计算，仅为七十分之一。因此，本标准规定镉限量为≤0</w:t>
      </w:r>
      <w:r>
        <w:rPr>
          <w:szCs w:val="21"/>
        </w:rPr>
        <w:t>.5mg/kg</w:t>
      </w:r>
      <w:r>
        <w:rPr>
          <w:rFonts w:hint="eastAsia"/>
          <w:szCs w:val="21"/>
        </w:rPr>
        <w:t>可以保证食用安全。</w:t>
      </w:r>
    </w:p>
    <w:p>
      <w:pPr>
        <w:adjustRightInd w:val="0"/>
        <w:snapToGrid w:val="0"/>
        <w:spacing w:line="360" w:lineRule="auto"/>
        <w:ind w:left="420"/>
        <w:rPr>
          <w:b/>
          <w:szCs w:val="21"/>
        </w:rPr>
      </w:pPr>
      <w:r>
        <w:rPr>
          <w:rFonts w:hint="eastAsia"/>
          <w:b/>
          <w:szCs w:val="21"/>
        </w:rPr>
        <w:t>（</w:t>
      </w:r>
      <w:r>
        <w:rPr>
          <w:b/>
          <w:szCs w:val="21"/>
        </w:rPr>
        <w:t>3</w:t>
      </w:r>
      <w:r>
        <w:rPr>
          <w:rFonts w:hint="eastAsia"/>
          <w:b/>
          <w:szCs w:val="21"/>
        </w:rPr>
        <w:t>）砷</w:t>
      </w:r>
    </w:p>
    <w:p>
      <w:pPr>
        <w:adjustRightInd w:val="0"/>
        <w:snapToGrid w:val="0"/>
        <w:spacing w:line="360" w:lineRule="auto"/>
        <w:ind w:firstLine="420" w:firstLineChars="200"/>
        <w:rPr>
          <w:szCs w:val="21"/>
        </w:rPr>
      </w:pPr>
      <w:r>
        <w:rPr>
          <w:rFonts w:hint="eastAsia"/>
          <w:szCs w:val="21"/>
        </w:rPr>
        <w:t>现行的食品安全国家标准未对茶叶中砷规定限量要求，《中华人民共和国农业行业标准 茶叶中铬、镉、汞、砷及氟化物限量》（N</w:t>
      </w:r>
      <w:r>
        <w:rPr>
          <w:szCs w:val="21"/>
        </w:rPr>
        <w:t>Y 659</w:t>
      </w:r>
      <w:r>
        <w:rPr>
          <w:rFonts w:hint="eastAsia"/>
          <w:szCs w:val="21"/>
        </w:rPr>
        <w:t>-</w:t>
      </w:r>
      <w:r>
        <w:rPr>
          <w:szCs w:val="21"/>
        </w:rPr>
        <w:t>2003</w:t>
      </w:r>
      <w:r>
        <w:rPr>
          <w:rFonts w:hint="eastAsia"/>
          <w:szCs w:val="21"/>
        </w:rPr>
        <w:t>）中的砷限量≤</w:t>
      </w:r>
      <w:r>
        <w:rPr>
          <w:szCs w:val="21"/>
        </w:rPr>
        <w:t>2</w:t>
      </w:r>
      <w:r>
        <w:rPr>
          <w:rFonts w:hint="eastAsia"/>
          <w:szCs w:val="21"/>
        </w:rPr>
        <w:t>.0</w:t>
      </w:r>
      <w:r>
        <w:rPr>
          <w:szCs w:val="21"/>
        </w:rPr>
        <w:t xml:space="preserve"> </w:t>
      </w:r>
      <w:r>
        <w:rPr>
          <w:rFonts w:hint="eastAsia"/>
          <w:szCs w:val="21"/>
        </w:rPr>
        <w:t>mg/kg，《中华人民共和国农业行业标准 绿色食品 代用茶》</w:t>
      </w:r>
      <w:r>
        <w:rPr>
          <w:szCs w:val="21"/>
        </w:rPr>
        <w:t>（NY/T 2140）</w:t>
      </w:r>
      <w:r>
        <w:rPr>
          <w:rFonts w:hint="eastAsia"/>
          <w:szCs w:val="21"/>
        </w:rPr>
        <w:t>和《中华人民共和国供销合作行业标准 代用茶》</w:t>
      </w:r>
      <w:r>
        <w:rPr>
          <w:szCs w:val="21"/>
        </w:rPr>
        <w:t>（GH/T 1091）</w:t>
      </w:r>
      <w:r>
        <w:rPr>
          <w:rFonts w:hint="eastAsia"/>
          <w:szCs w:val="21"/>
        </w:rPr>
        <w:t>中的砷限量≤</w:t>
      </w:r>
      <w:r>
        <w:rPr>
          <w:szCs w:val="21"/>
        </w:rPr>
        <w:t xml:space="preserve">0.5 </w:t>
      </w:r>
      <w:r>
        <w:rPr>
          <w:rFonts w:hint="eastAsia"/>
          <w:szCs w:val="21"/>
        </w:rPr>
        <w:t>mg/kg。依据2</w:t>
      </w:r>
      <w:r>
        <w:rPr>
          <w:szCs w:val="21"/>
        </w:rPr>
        <w:t>1</w:t>
      </w:r>
      <w:r>
        <w:rPr>
          <w:rFonts w:hint="eastAsia"/>
          <w:szCs w:val="21"/>
        </w:rPr>
        <w:t>批样品的检查结果分析，其最大值为</w:t>
      </w:r>
      <w:r>
        <w:rPr>
          <w:szCs w:val="21"/>
        </w:rPr>
        <w:t>0.7288</w:t>
      </w:r>
      <w:r>
        <w:rPr>
          <w:rFonts w:hint="eastAsia"/>
          <w:szCs w:val="21"/>
        </w:rPr>
        <w:t xml:space="preserve"> mg/kg，最小值为</w:t>
      </w:r>
      <w:r>
        <w:rPr>
          <w:szCs w:val="21"/>
        </w:rPr>
        <w:t xml:space="preserve">0.0819 </w:t>
      </w:r>
      <w:r>
        <w:rPr>
          <w:rFonts w:hint="eastAsia"/>
          <w:szCs w:val="21"/>
        </w:rPr>
        <w:t>mg/Kg，平均值为</w:t>
      </w:r>
      <w:r>
        <w:rPr>
          <w:szCs w:val="21"/>
        </w:rPr>
        <w:t xml:space="preserve">0.2128 </w:t>
      </w:r>
      <w:r>
        <w:rPr>
          <w:rFonts w:hint="eastAsia"/>
          <w:szCs w:val="21"/>
        </w:rPr>
        <w:t>mg/ kg，综合考虑铁皮石斛叶的其他因素，本标准规定砷限量为≤</w:t>
      </w:r>
      <w:r>
        <w:rPr>
          <w:szCs w:val="21"/>
        </w:rPr>
        <w:t>1 mg/kg</w:t>
      </w:r>
      <w:r>
        <w:rPr>
          <w:rFonts w:hint="eastAsia"/>
          <w:szCs w:val="21"/>
        </w:rPr>
        <w:t>。根据本标准制定的推荐食用量每日≤6g，若以直接食用方式食用铁皮石斛叶，折算后每日的砷摄入量为</w:t>
      </w:r>
      <w:r>
        <w:rPr>
          <w:szCs w:val="21"/>
        </w:rPr>
        <w:t>6μ</w:t>
      </w:r>
      <w:r>
        <w:rPr>
          <w:rFonts w:hint="eastAsia"/>
          <w:szCs w:val="21"/>
        </w:rPr>
        <w:t>g。若以60kg体重成人，按1993年食品添加剂和污染物联合专家委员会（JECFA）建议每人每周允许摄入量（PTWI）为25</w:t>
      </w:r>
      <w:r>
        <w:rPr>
          <w:szCs w:val="21"/>
        </w:rPr>
        <w:t>μ</w:t>
      </w:r>
      <w:r>
        <w:rPr>
          <w:rFonts w:hint="eastAsia"/>
          <w:szCs w:val="21"/>
        </w:rPr>
        <w:t>g/</w:t>
      </w:r>
      <w:r>
        <w:rPr>
          <w:szCs w:val="21"/>
        </w:rPr>
        <w:t>(</w:t>
      </w:r>
      <w:r>
        <w:rPr>
          <w:rFonts w:hint="eastAsia"/>
          <w:szCs w:val="21"/>
        </w:rPr>
        <w:t>kg.bw</w:t>
      </w:r>
      <w:r>
        <w:rPr>
          <w:szCs w:val="21"/>
        </w:rPr>
        <w:t>)</w:t>
      </w:r>
      <w:r>
        <w:rPr>
          <w:rFonts w:hint="eastAsia"/>
          <w:szCs w:val="21"/>
        </w:rPr>
        <w:t>计算，仅为建议量的2</w:t>
      </w:r>
      <w:r>
        <w:rPr>
          <w:szCs w:val="21"/>
        </w:rPr>
        <w:t>.5</w:t>
      </w:r>
      <w:r>
        <w:rPr>
          <w:rFonts w:hint="eastAsia"/>
          <w:szCs w:val="21"/>
        </w:rPr>
        <w:t>%。因此，本标准规定砷限量为≤</w:t>
      </w:r>
      <w:r>
        <w:rPr>
          <w:szCs w:val="21"/>
        </w:rPr>
        <w:t>1 mg/kg</w:t>
      </w:r>
      <w:r>
        <w:rPr>
          <w:rFonts w:hint="eastAsia"/>
          <w:szCs w:val="21"/>
        </w:rPr>
        <w:t>可以保证食用安全。</w:t>
      </w:r>
    </w:p>
    <w:p>
      <w:pPr>
        <w:adjustRightInd w:val="0"/>
        <w:snapToGrid w:val="0"/>
        <w:spacing w:line="360" w:lineRule="auto"/>
        <w:ind w:left="420"/>
        <w:rPr>
          <w:b/>
          <w:szCs w:val="21"/>
        </w:rPr>
      </w:pPr>
      <w:r>
        <w:rPr>
          <w:rFonts w:hint="eastAsia"/>
          <w:b/>
          <w:szCs w:val="21"/>
        </w:rPr>
        <w:t>（</w:t>
      </w:r>
      <w:r>
        <w:rPr>
          <w:b/>
          <w:szCs w:val="21"/>
        </w:rPr>
        <w:t>4</w:t>
      </w:r>
      <w:r>
        <w:rPr>
          <w:rFonts w:hint="eastAsia"/>
          <w:b/>
          <w:szCs w:val="21"/>
        </w:rPr>
        <w:t>）镍</w:t>
      </w:r>
    </w:p>
    <w:p>
      <w:pPr>
        <w:adjustRightInd w:val="0"/>
        <w:snapToGrid w:val="0"/>
        <w:spacing w:line="360" w:lineRule="auto"/>
        <w:ind w:firstLine="420" w:firstLineChars="200"/>
        <w:rPr>
          <w:szCs w:val="21"/>
        </w:rPr>
      </w:pPr>
      <w:r>
        <w:rPr>
          <w:rFonts w:hint="eastAsia"/>
          <w:szCs w:val="21"/>
        </w:rPr>
        <w:t>根据2</w:t>
      </w:r>
      <w:r>
        <w:rPr>
          <w:szCs w:val="21"/>
        </w:rPr>
        <w:t>1</w:t>
      </w:r>
      <w:r>
        <w:rPr>
          <w:rFonts w:hint="eastAsia"/>
          <w:szCs w:val="21"/>
        </w:rPr>
        <w:t>批样品的检测结果显示：2</w:t>
      </w:r>
      <w:r>
        <w:rPr>
          <w:szCs w:val="21"/>
        </w:rPr>
        <w:t>1</w:t>
      </w:r>
      <w:r>
        <w:rPr>
          <w:rFonts w:hint="eastAsia"/>
          <w:szCs w:val="21"/>
        </w:rPr>
        <w:t>批样中，镍含量检测最大值为</w:t>
      </w:r>
      <w:r>
        <w:rPr>
          <w:szCs w:val="21"/>
        </w:rPr>
        <w:t xml:space="preserve">1.6974 </w:t>
      </w:r>
      <w:r>
        <w:rPr>
          <w:rFonts w:hint="eastAsia"/>
          <w:szCs w:val="21"/>
        </w:rPr>
        <w:t>mg/Kg，最小值为</w:t>
      </w:r>
      <w:r>
        <w:rPr>
          <w:szCs w:val="21"/>
        </w:rPr>
        <w:t>0.3416</w:t>
      </w:r>
      <w:r>
        <w:rPr>
          <w:rFonts w:hint="eastAsia"/>
          <w:szCs w:val="21"/>
        </w:rPr>
        <w:t xml:space="preserve"> mg/Kg，平均值为</w:t>
      </w:r>
      <w:r>
        <w:rPr>
          <w:szCs w:val="21"/>
        </w:rPr>
        <w:t xml:space="preserve">0.9029 </w:t>
      </w:r>
      <w:r>
        <w:rPr>
          <w:rFonts w:hint="eastAsia"/>
          <w:szCs w:val="21"/>
        </w:rPr>
        <w:t>mg/Kg，标准中设定镍污染限量值为≤</w:t>
      </w:r>
      <w:r>
        <w:rPr>
          <w:szCs w:val="21"/>
        </w:rPr>
        <w:t>1.5</w:t>
      </w:r>
      <w:r>
        <w:rPr>
          <w:rFonts w:hint="eastAsia"/>
          <w:szCs w:val="21"/>
        </w:rPr>
        <w:t xml:space="preserve"> mg/Kg。依据本次筛查数据，有9</w:t>
      </w:r>
      <w:r>
        <w:rPr>
          <w:szCs w:val="21"/>
        </w:rPr>
        <w:t>5</w:t>
      </w:r>
      <w:r>
        <w:rPr>
          <w:rFonts w:hint="eastAsia"/>
          <w:szCs w:val="21"/>
        </w:rPr>
        <w:t>%的样品是合格的。</w:t>
      </w:r>
    </w:p>
    <w:p>
      <w:pPr>
        <w:adjustRightInd w:val="0"/>
        <w:snapToGrid w:val="0"/>
        <w:spacing w:line="360" w:lineRule="auto"/>
        <w:ind w:firstLine="420" w:firstLineChars="200"/>
        <w:rPr>
          <w:szCs w:val="21"/>
        </w:rPr>
      </w:pPr>
      <w:r>
        <w:rPr>
          <w:rFonts w:hint="eastAsia"/>
          <w:szCs w:val="21"/>
        </w:rPr>
        <w:t>设定依据：</w:t>
      </w:r>
      <w:r>
        <w:rPr>
          <w:rFonts w:hint="eastAsia" w:ascii="宋体" w:hAnsi="宋体"/>
          <w:szCs w:val="21"/>
        </w:rPr>
        <w:t>①</w:t>
      </w:r>
      <w:r>
        <w:rPr>
          <w:rFonts w:hint="eastAsia"/>
          <w:szCs w:val="21"/>
        </w:rPr>
        <w:t>现行国家标准</w:t>
      </w:r>
      <w:r>
        <w:rPr>
          <w:szCs w:val="21"/>
        </w:rPr>
        <w:t>GB 2762</w:t>
      </w:r>
      <w:r>
        <w:rPr>
          <w:rFonts w:hint="eastAsia"/>
          <w:szCs w:val="21"/>
        </w:rPr>
        <w:t>未对叶类食品镍限量作规定，对氢化植物油及氢化植物油为主的产品镍限量为≤</w:t>
      </w:r>
      <w:r>
        <w:rPr>
          <w:szCs w:val="21"/>
        </w:rPr>
        <w:t>1</w:t>
      </w:r>
      <w:r>
        <w:rPr>
          <w:rFonts w:hint="eastAsia"/>
          <w:szCs w:val="21"/>
        </w:rPr>
        <w:t xml:space="preserve"> mg/Kg。</w:t>
      </w:r>
      <w:r>
        <w:rPr>
          <w:rFonts w:hint="eastAsia" w:ascii="宋体" w:hAnsi="宋体"/>
          <w:szCs w:val="21"/>
        </w:rPr>
        <w:t>②按照《中华人民共和国卫生行业标准 营养名词术语》</w:t>
      </w:r>
      <w:r>
        <w:rPr>
          <w:szCs w:val="21"/>
        </w:rPr>
        <w:t>WS/T 476</w:t>
      </w:r>
      <w:r>
        <w:rPr>
          <w:rFonts w:hint="eastAsia"/>
          <w:szCs w:val="21"/>
        </w:rPr>
        <w:t>-</w:t>
      </w:r>
      <w:r>
        <w:rPr>
          <w:szCs w:val="21"/>
        </w:rPr>
        <w:t xml:space="preserve">2015 </w:t>
      </w:r>
      <w:r>
        <w:rPr>
          <w:rFonts w:hint="eastAsia"/>
          <w:szCs w:val="21"/>
        </w:rPr>
        <w:t>对痕量元素的定义：</w:t>
      </w:r>
      <w:r>
        <w:rPr>
          <w:rFonts w:ascii="宋体" w:hAnsi="宋体"/>
          <w:szCs w:val="21"/>
        </w:rPr>
        <w:t>在人体内的含量小于0.01%体重的矿物质</w:t>
      </w:r>
      <w:r>
        <w:rPr>
          <w:rFonts w:hint="eastAsia" w:ascii="宋体" w:hAnsi="宋体"/>
          <w:szCs w:val="21"/>
        </w:rPr>
        <w:t>，痕量元素</w:t>
      </w:r>
      <w:r>
        <w:rPr>
          <w:rFonts w:ascii="宋体" w:hAnsi="宋体"/>
          <w:szCs w:val="21"/>
        </w:rPr>
        <w:t>第二类为人体可能必需的微量元素</w:t>
      </w:r>
      <w:r>
        <w:rPr>
          <w:rFonts w:hint="eastAsia" w:ascii="宋体" w:hAnsi="宋体"/>
          <w:szCs w:val="21"/>
        </w:rPr>
        <w:t>，</w:t>
      </w:r>
      <w:r>
        <w:rPr>
          <w:rFonts w:ascii="宋体" w:hAnsi="宋体"/>
          <w:szCs w:val="21"/>
        </w:rPr>
        <w:t>有锰、 硅、 镍、 硼、 钒5 种</w:t>
      </w:r>
      <w:r>
        <w:rPr>
          <w:rFonts w:hint="eastAsia" w:ascii="宋体" w:hAnsi="宋体"/>
          <w:szCs w:val="21"/>
        </w:rPr>
        <w:t>。根据铁皮石斛叶推荐日摄入量计算：</w:t>
      </w:r>
      <w:r>
        <w:rPr>
          <w:rFonts w:hint="eastAsia" w:ascii="FZSSK--GBK1-0" w:hAnsi="FZSSK--GBK1-0"/>
          <w:color w:val="000000"/>
          <w:sz w:val="20"/>
          <w:szCs w:val="20"/>
        </w:rPr>
        <w:t>1</w:t>
      </w:r>
      <w:r>
        <w:rPr>
          <w:rFonts w:ascii="FZSSK--GBK1-0" w:hAnsi="FZSSK--GBK1-0"/>
          <w:color w:val="000000"/>
          <w:sz w:val="20"/>
          <w:szCs w:val="20"/>
        </w:rPr>
        <w:t>.5</w:t>
      </w:r>
      <w:r>
        <w:rPr>
          <w:rFonts w:hint="eastAsia" w:ascii="FZSSK--GBK1-0" w:hAnsi="FZSSK--GBK1-0"/>
          <w:color w:val="000000"/>
          <w:sz w:val="20"/>
          <w:szCs w:val="20"/>
        </w:rPr>
        <w:t>mg</w:t>
      </w:r>
      <w:r>
        <w:rPr>
          <w:rFonts w:ascii="FZSSK--GBK1-0" w:hAnsi="FZSSK--GBK1-0"/>
          <w:color w:val="000000"/>
          <w:sz w:val="20"/>
          <w:szCs w:val="20"/>
        </w:rPr>
        <w:t>/1000g</w:t>
      </w:r>
      <w:r>
        <w:rPr>
          <w:rFonts w:hint="eastAsia"/>
          <w:szCs w:val="21"/>
        </w:rPr>
        <w:t>×</w:t>
      </w:r>
      <w:r>
        <w:rPr>
          <w:szCs w:val="21"/>
        </w:rPr>
        <w:t>6g</w:t>
      </w:r>
      <w:r>
        <w:rPr>
          <w:rFonts w:hint="eastAsia"/>
          <w:szCs w:val="21"/>
        </w:rPr>
        <w:t>=</w:t>
      </w:r>
      <w:r>
        <w:rPr>
          <w:szCs w:val="21"/>
        </w:rPr>
        <w:t>9 μg</w:t>
      </w:r>
      <w:r>
        <w:rPr>
          <w:rFonts w:hint="eastAsia"/>
          <w:szCs w:val="21"/>
        </w:rPr>
        <w:t>，其量远低于痕量的定义。因此，在本标准中对镍污染物的限量设置为≤</w:t>
      </w:r>
      <w:r>
        <w:rPr>
          <w:szCs w:val="21"/>
        </w:rPr>
        <w:t>1.5</w:t>
      </w:r>
      <w:r>
        <w:rPr>
          <w:rFonts w:hint="eastAsia"/>
          <w:szCs w:val="21"/>
        </w:rPr>
        <w:t xml:space="preserve"> mg/Kg。</w:t>
      </w:r>
    </w:p>
    <w:p>
      <w:pPr>
        <w:adjustRightInd w:val="0"/>
        <w:snapToGrid w:val="0"/>
        <w:spacing w:line="360" w:lineRule="auto"/>
        <w:ind w:left="420"/>
        <w:rPr>
          <w:b/>
          <w:szCs w:val="21"/>
        </w:rPr>
      </w:pPr>
      <w:r>
        <w:rPr>
          <w:rFonts w:hint="eastAsia"/>
          <w:b/>
          <w:szCs w:val="21"/>
        </w:rPr>
        <w:t>（</w:t>
      </w:r>
      <w:r>
        <w:rPr>
          <w:b/>
          <w:szCs w:val="21"/>
        </w:rPr>
        <w:t>5</w:t>
      </w:r>
      <w:r>
        <w:rPr>
          <w:rFonts w:hint="eastAsia"/>
          <w:b/>
          <w:szCs w:val="21"/>
        </w:rPr>
        <w:t>）铬</w:t>
      </w:r>
    </w:p>
    <w:p>
      <w:pPr>
        <w:adjustRightInd w:val="0"/>
        <w:snapToGrid w:val="0"/>
        <w:spacing w:line="360" w:lineRule="auto"/>
        <w:ind w:firstLine="420" w:firstLineChars="200"/>
        <w:rPr>
          <w:szCs w:val="21"/>
        </w:rPr>
      </w:pPr>
      <w:r>
        <w:rPr>
          <w:rFonts w:hint="eastAsia"/>
          <w:szCs w:val="21"/>
        </w:rPr>
        <w:t>根据2</w:t>
      </w:r>
      <w:r>
        <w:rPr>
          <w:szCs w:val="21"/>
        </w:rPr>
        <w:t>1</w:t>
      </w:r>
      <w:r>
        <w:rPr>
          <w:rFonts w:hint="eastAsia"/>
          <w:szCs w:val="21"/>
        </w:rPr>
        <w:t>批样品的检测结果显示：2</w:t>
      </w:r>
      <w:r>
        <w:rPr>
          <w:szCs w:val="21"/>
        </w:rPr>
        <w:t>1</w:t>
      </w:r>
      <w:r>
        <w:rPr>
          <w:rFonts w:hint="eastAsia"/>
          <w:szCs w:val="21"/>
        </w:rPr>
        <w:t>批样中，检测出最大值为21.65 mg/Kg，最小值为2.1604 mg/Kg，平均值为11.6729 mg/Kg，低于5</w:t>
      </w:r>
      <w:r>
        <w:rPr>
          <w:szCs w:val="21"/>
        </w:rPr>
        <w:t>.0</w:t>
      </w:r>
      <w:r>
        <w:rPr>
          <w:rFonts w:hint="eastAsia"/>
          <w:szCs w:val="21"/>
        </w:rPr>
        <w:t xml:space="preserve"> mg/Kg的仅3批。结果表明贵州地区种植的铁皮石斛，其叶中铬含量普遍较高。</w:t>
      </w:r>
    </w:p>
    <w:p>
      <w:pPr>
        <w:adjustRightInd w:val="0"/>
        <w:snapToGrid w:val="0"/>
        <w:spacing w:line="360" w:lineRule="auto"/>
        <w:ind w:firstLine="420" w:firstLineChars="200"/>
        <w:rPr>
          <w:szCs w:val="21"/>
        </w:rPr>
      </w:pPr>
      <w:r>
        <w:rPr>
          <w:rFonts w:hint="eastAsia"/>
          <w:szCs w:val="21"/>
        </w:rPr>
        <w:t>现行的国标、行业标准及地方标准对食品中铬限量规定各有考量和限量规定。如《食品安全国家标准</w:t>
      </w:r>
      <w:r>
        <w:rPr>
          <w:szCs w:val="21"/>
        </w:rPr>
        <w:t xml:space="preserve"> </w:t>
      </w:r>
      <w:r>
        <w:rPr>
          <w:rFonts w:hint="eastAsia"/>
          <w:szCs w:val="21"/>
        </w:rPr>
        <w:t>食品中污染物限量》</w:t>
      </w:r>
      <w:r>
        <w:rPr>
          <w:szCs w:val="21"/>
        </w:rPr>
        <w:t>（GB 2762-2017）</w:t>
      </w:r>
      <w:r>
        <w:rPr>
          <w:rFonts w:hint="eastAsia"/>
          <w:szCs w:val="21"/>
        </w:rPr>
        <w:t>中未对茶叶类食品中铬的限量规定，对新鲜叶类蔬菜铬的限量要求为≤</w:t>
      </w:r>
      <w:r>
        <w:rPr>
          <w:szCs w:val="21"/>
        </w:rPr>
        <w:t>0</w:t>
      </w:r>
      <w:r>
        <w:rPr>
          <w:rFonts w:hint="eastAsia"/>
          <w:szCs w:val="21"/>
        </w:rPr>
        <w:t>.5</w:t>
      </w:r>
      <w:r>
        <w:rPr>
          <w:szCs w:val="21"/>
        </w:rPr>
        <w:t xml:space="preserve"> </w:t>
      </w:r>
      <w:r>
        <w:rPr>
          <w:rFonts w:hint="eastAsia"/>
          <w:szCs w:val="21"/>
        </w:rPr>
        <w:t>mg/kg。《中华人民共和国农业行业标准茶叶中铬、镉、汞、砷及氟化物限量》（N</w:t>
      </w:r>
      <w:r>
        <w:rPr>
          <w:szCs w:val="21"/>
        </w:rPr>
        <w:t>Y 659</w:t>
      </w:r>
      <w:r>
        <w:rPr>
          <w:rFonts w:hint="eastAsia"/>
          <w:szCs w:val="21"/>
        </w:rPr>
        <w:t>-</w:t>
      </w:r>
      <w:r>
        <w:rPr>
          <w:szCs w:val="21"/>
        </w:rPr>
        <w:t>2003</w:t>
      </w:r>
      <w:r>
        <w:rPr>
          <w:rFonts w:hint="eastAsia"/>
          <w:szCs w:val="21"/>
        </w:rPr>
        <w:t>）中的铬限量要求为≤</w:t>
      </w:r>
      <w:r>
        <w:rPr>
          <w:szCs w:val="21"/>
        </w:rPr>
        <w:t>5</w:t>
      </w:r>
      <w:r>
        <w:rPr>
          <w:rFonts w:hint="eastAsia"/>
          <w:szCs w:val="21"/>
        </w:rPr>
        <w:t>.0</w:t>
      </w:r>
      <w:r>
        <w:rPr>
          <w:szCs w:val="21"/>
        </w:rPr>
        <w:t xml:space="preserve"> </w:t>
      </w:r>
      <w:r>
        <w:rPr>
          <w:rFonts w:hint="eastAsia"/>
          <w:szCs w:val="21"/>
        </w:rPr>
        <w:t>mg/kg；《贵州省地方标准都匀毛尖》（</w:t>
      </w:r>
      <w:r>
        <w:rPr>
          <w:szCs w:val="21"/>
        </w:rPr>
        <w:t>DB52/T 433</w:t>
      </w:r>
      <w:r>
        <w:rPr>
          <w:rFonts w:hint="eastAsia"/>
          <w:szCs w:val="21"/>
        </w:rPr>
        <w:t>-</w:t>
      </w:r>
      <w:r>
        <w:rPr>
          <w:szCs w:val="21"/>
        </w:rPr>
        <w:t>2018</w:t>
      </w:r>
      <w:r>
        <w:rPr>
          <w:rFonts w:hint="eastAsia"/>
          <w:szCs w:val="21"/>
        </w:rPr>
        <w:t>）中的铅限量、《中华人民共和国农业行业标准 绿色食品 代用茶》</w:t>
      </w:r>
      <w:r>
        <w:rPr>
          <w:szCs w:val="21"/>
        </w:rPr>
        <w:t>（NY/T 2140）</w:t>
      </w:r>
      <w:r>
        <w:rPr>
          <w:rFonts w:hint="eastAsia"/>
          <w:szCs w:val="21"/>
        </w:rPr>
        <w:t>和《中华人民共和国供销合作行业标准 代用茶》</w:t>
      </w:r>
      <w:r>
        <w:rPr>
          <w:szCs w:val="21"/>
        </w:rPr>
        <w:t>（GH/T 1091）</w:t>
      </w:r>
      <w:r>
        <w:rPr>
          <w:rFonts w:hint="eastAsia"/>
          <w:szCs w:val="21"/>
        </w:rPr>
        <w:t>未对铬限量作规定。文献报道，铬是人体必需微量元素之一，不同形态的铬对人体的功能和毒性不同，天然食品和生物体中的铬主要为三价铬，是葡萄糖耐量因子的重要构成成分、某些酶的激活剂，铬摄入不足可引起糖、脂代谢紊乱等铬是一种人体必需的微量元素，六价铬的毒性较大，具有强烈的致癌作用</w:t>
      </w:r>
      <w:r>
        <w:rPr>
          <w:rFonts w:hint="eastAsia"/>
          <w:szCs w:val="21"/>
          <w:vertAlign w:val="superscript"/>
        </w:rPr>
        <w:t>[</w:t>
      </w:r>
      <w:r>
        <w:rPr>
          <w:szCs w:val="21"/>
          <w:vertAlign w:val="superscript"/>
        </w:rPr>
        <w:t>1</w:t>
      </w:r>
      <w:r>
        <w:rPr>
          <w:rFonts w:hint="eastAsia"/>
          <w:szCs w:val="21"/>
          <w:vertAlign w:val="superscript"/>
        </w:rPr>
        <w:t>]</w:t>
      </w:r>
      <w:r>
        <w:rPr>
          <w:rFonts w:hint="eastAsia"/>
          <w:szCs w:val="21"/>
        </w:rPr>
        <w:t>。现行铬含量检测方法的国家标准</w:t>
      </w:r>
      <w:r>
        <w:rPr>
          <w:szCs w:val="21"/>
        </w:rPr>
        <w:t>GB 5009.123</w:t>
      </w:r>
      <w:r>
        <w:rPr>
          <w:rFonts w:hint="eastAsia"/>
          <w:szCs w:val="21"/>
        </w:rPr>
        <w:t>，是对总铬含量的检测，并未区分三价铬和六价铬的含量。已有相关文献报道，贵州地区铬含量高，是由于贵州地区矿藏资源早期的不规则开采和喀斯特地貌的特性，贵州地区土壤和水体中铬元素普遍含量较高，因此导致了贵州地区种植的农产品铬元素的积累普遍超过国家标准</w:t>
      </w:r>
      <w:r>
        <w:rPr>
          <w:rFonts w:hint="eastAsia"/>
          <w:szCs w:val="21"/>
          <w:vertAlign w:val="superscript"/>
        </w:rPr>
        <w:t>[</w:t>
      </w:r>
      <w:r>
        <w:rPr>
          <w:szCs w:val="21"/>
          <w:vertAlign w:val="superscript"/>
        </w:rPr>
        <w:t>2-3]</w:t>
      </w:r>
      <w:r>
        <w:rPr>
          <w:rFonts w:hint="eastAsia"/>
          <w:szCs w:val="21"/>
        </w:rPr>
        <w:t>。</w:t>
      </w:r>
    </w:p>
    <w:p>
      <w:pPr>
        <w:adjustRightInd w:val="0"/>
        <w:snapToGrid w:val="0"/>
        <w:spacing w:line="360" w:lineRule="auto"/>
        <w:ind w:firstLine="420" w:firstLineChars="200"/>
        <w:rPr>
          <w:szCs w:val="21"/>
        </w:rPr>
      </w:pPr>
      <w:r>
        <w:rPr>
          <w:rFonts w:hint="eastAsia"/>
          <w:szCs w:val="21"/>
        </w:rPr>
        <w:t>基于以上情况，我们依据民间习惯食用方法、食用量和安全性</w:t>
      </w:r>
      <w:r>
        <w:rPr>
          <w:szCs w:val="21"/>
        </w:rPr>
        <w:t>毒理学</w:t>
      </w:r>
      <w:r>
        <w:rPr>
          <w:rFonts w:hint="eastAsia"/>
          <w:szCs w:val="21"/>
        </w:rPr>
        <w:t>评价结果（附件</w:t>
      </w:r>
      <w:r>
        <w:rPr>
          <w:szCs w:val="21"/>
        </w:rPr>
        <w:t>1</w:t>
      </w:r>
      <w:r>
        <w:rPr>
          <w:rFonts w:hint="eastAsia"/>
          <w:szCs w:val="21"/>
        </w:rPr>
        <w:t>），制定铁皮石斛叶（干叶）日推荐摄入量为≤</w:t>
      </w:r>
      <w:r>
        <w:rPr>
          <w:szCs w:val="21"/>
        </w:rPr>
        <w:t>6</w:t>
      </w:r>
      <w:r>
        <w:rPr>
          <w:rFonts w:hint="eastAsia"/>
          <w:szCs w:val="21"/>
        </w:rPr>
        <w:t>.0</w:t>
      </w:r>
      <w:r>
        <w:rPr>
          <w:szCs w:val="21"/>
        </w:rPr>
        <w:t xml:space="preserve"> </w:t>
      </w:r>
      <w:r>
        <w:rPr>
          <w:rFonts w:hint="eastAsia"/>
          <w:szCs w:val="21"/>
        </w:rPr>
        <w:t>g。根据中国营养学会制定的每日铬的“安全和适宜的摄人量”指标，其中婴儿每天的适宜摄入量为</w:t>
      </w:r>
      <w:r>
        <w:rPr>
          <w:szCs w:val="21"/>
        </w:rPr>
        <w:t>10-14 μg</w:t>
      </w:r>
      <w:r>
        <w:rPr>
          <w:rFonts w:hint="eastAsia"/>
          <w:szCs w:val="21"/>
        </w:rPr>
        <w:t>，</w:t>
      </w:r>
      <w:r>
        <w:rPr>
          <w:szCs w:val="21"/>
        </w:rPr>
        <w:t>11岁以上至成人每天</w:t>
      </w:r>
      <w:r>
        <w:rPr>
          <w:rFonts w:hint="eastAsia"/>
          <w:szCs w:val="21"/>
        </w:rPr>
        <w:t>适宜摄入量平</w:t>
      </w:r>
      <w:r>
        <w:rPr>
          <w:szCs w:val="21"/>
        </w:rPr>
        <w:t>均为30</w:t>
      </w:r>
      <w:r>
        <w:rPr>
          <w:rFonts w:hint="eastAsia"/>
          <w:szCs w:val="21"/>
        </w:rPr>
        <w:t>-</w:t>
      </w:r>
      <w:r>
        <w:rPr>
          <w:szCs w:val="21"/>
        </w:rPr>
        <w:t>35 μg</w:t>
      </w:r>
      <w:r>
        <w:rPr>
          <w:rFonts w:hint="eastAsia"/>
          <w:szCs w:val="21"/>
        </w:rPr>
        <w:t>，而对于可耐受最高摄入量并没有做要求</w:t>
      </w:r>
      <w:r>
        <w:rPr>
          <w:rFonts w:hint="eastAsia"/>
          <w:szCs w:val="21"/>
          <w:vertAlign w:val="superscript"/>
        </w:rPr>
        <w:t>[</w:t>
      </w:r>
      <w:r>
        <w:rPr>
          <w:szCs w:val="21"/>
          <w:vertAlign w:val="superscript"/>
        </w:rPr>
        <w:t>4]</w:t>
      </w:r>
      <w:r>
        <w:rPr>
          <w:szCs w:val="21"/>
        </w:rPr>
        <w:t>。</w:t>
      </w:r>
      <w:r>
        <w:rPr>
          <w:rFonts w:hint="eastAsia"/>
          <w:szCs w:val="21"/>
        </w:rPr>
        <w:t>按照本次铁皮石斛叶铬元素含量的平均值1</w:t>
      </w:r>
      <w:r>
        <w:rPr>
          <w:szCs w:val="21"/>
        </w:rPr>
        <w:t xml:space="preserve">2 </w:t>
      </w:r>
      <w:r>
        <w:rPr>
          <w:rFonts w:hint="eastAsia"/>
          <w:szCs w:val="21"/>
        </w:rPr>
        <w:t>mg/k</w:t>
      </w:r>
      <w:r>
        <w:rPr>
          <w:szCs w:val="21"/>
        </w:rPr>
        <w:t>g</w:t>
      </w:r>
      <w:r>
        <w:rPr>
          <w:rFonts w:hint="eastAsia"/>
          <w:szCs w:val="21"/>
        </w:rPr>
        <w:t>计算，每日摄入的铁皮石斛叶片中铬的总量为</w:t>
      </w:r>
      <w:r>
        <w:rPr>
          <w:szCs w:val="21"/>
        </w:rPr>
        <w:t>12mg</w:t>
      </w:r>
      <w:r>
        <w:rPr>
          <w:rFonts w:hint="eastAsia"/>
          <w:szCs w:val="21"/>
        </w:rPr>
        <w:t>/</w:t>
      </w:r>
      <w:r>
        <w:rPr>
          <w:szCs w:val="21"/>
        </w:rPr>
        <w:t>1000g</w:t>
      </w:r>
      <w:r>
        <w:rPr>
          <w:rFonts w:hint="eastAsia"/>
          <w:szCs w:val="21"/>
        </w:rPr>
        <w:t>×</w:t>
      </w:r>
      <w:r>
        <w:rPr>
          <w:szCs w:val="21"/>
        </w:rPr>
        <w:t>6g</w:t>
      </w:r>
      <w:r>
        <w:rPr>
          <w:rFonts w:hint="eastAsia"/>
          <w:szCs w:val="21"/>
        </w:rPr>
        <w:t>=</w:t>
      </w:r>
      <w:r>
        <w:rPr>
          <w:szCs w:val="21"/>
        </w:rPr>
        <w:t>72 μg</w:t>
      </w:r>
      <w:r>
        <w:rPr>
          <w:rFonts w:hint="eastAsia"/>
          <w:szCs w:val="21"/>
        </w:rPr>
        <w:t>，达到了每日铬元素的建议摄入量最低要求。虽然贵州地区铁皮石斛叶片中积累的铬元素超出相关国家标准，但是根据摄入量计算，每天通过摄入铁皮石斛叶而吸收的铬元素并没有超出中国营养学会建议的相关标准。</w:t>
      </w:r>
    </w:p>
    <w:p>
      <w:pPr>
        <w:adjustRightInd w:val="0"/>
        <w:snapToGrid w:val="0"/>
        <w:spacing w:line="360" w:lineRule="auto"/>
        <w:ind w:firstLine="420" w:firstLineChars="200"/>
        <w:rPr>
          <w:szCs w:val="21"/>
        </w:rPr>
      </w:pPr>
      <w:r>
        <w:rPr>
          <w:rFonts w:hint="eastAsia"/>
          <w:szCs w:val="21"/>
        </w:rPr>
        <w:t>因此，基于现行铬元素国标检测方法，以总铬的含量作为评判标准是否合适，存在争议。且在本标准中对铁皮石斛叶的日摄入量有明确规定，基于现有数据铬含量仍为营养协会规定的安全值之内。为此，在本标准中不将铬设定为安全控制指标。</w:t>
      </w:r>
    </w:p>
    <w:p>
      <w:pPr>
        <w:adjustRightInd w:val="0"/>
        <w:snapToGrid w:val="0"/>
        <w:spacing w:line="360" w:lineRule="auto"/>
        <w:rPr>
          <w:b/>
          <w:szCs w:val="21"/>
        </w:rPr>
      </w:pPr>
      <w:r>
        <w:rPr>
          <w:rFonts w:hint="eastAsia"/>
          <w:b/>
          <w:szCs w:val="21"/>
        </w:rPr>
        <w:t>参考文献</w:t>
      </w:r>
    </w:p>
    <w:p>
      <w:pPr>
        <w:adjustRightInd w:val="0"/>
        <w:snapToGrid w:val="0"/>
        <w:spacing w:line="360" w:lineRule="auto"/>
        <w:ind w:left="283" w:hanging="283" w:hangingChars="135"/>
        <w:rPr>
          <w:szCs w:val="21"/>
        </w:rPr>
      </w:pPr>
      <w:r>
        <w:rPr>
          <w:szCs w:val="21"/>
        </w:rPr>
        <w:t xml:space="preserve">1. </w:t>
      </w:r>
      <w:r>
        <w:rPr>
          <w:rFonts w:hint="eastAsia"/>
          <w:szCs w:val="21"/>
        </w:rPr>
        <w:t>迟玉广</w:t>
      </w:r>
      <w:r>
        <w:rPr>
          <w:szCs w:val="21"/>
        </w:rPr>
        <w:t>,李中阳,黄爱华,肖凤霞,林励,李锦意.广州市售中药材中各形态铬的含量分析及其健康风险评价[J].现代食品科技,2012,28(10):1403-1406.</w:t>
      </w:r>
    </w:p>
    <w:p>
      <w:pPr>
        <w:adjustRightInd w:val="0"/>
        <w:snapToGrid w:val="0"/>
        <w:spacing w:line="360" w:lineRule="auto"/>
        <w:ind w:left="283" w:hanging="283" w:hangingChars="135"/>
        <w:rPr>
          <w:szCs w:val="21"/>
        </w:rPr>
      </w:pPr>
      <w:r>
        <w:rPr>
          <w:rFonts w:hint="eastAsia"/>
          <w:szCs w:val="21"/>
        </w:rPr>
        <w:t>2</w:t>
      </w:r>
      <w:r>
        <w:rPr>
          <w:szCs w:val="21"/>
        </w:rPr>
        <w:t xml:space="preserve">. </w:t>
      </w:r>
      <w:r>
        <w:rPr>
          <w:rFonts w:hint="eastAsia"/>
          <w:szCs w:val="21"/>
        </w:rPr>
        <w:t>李渝</w:t>
      </w:r>
      <w:r>
        <w:rPr>
          <w:szCs w:val="21"/>
        </w:rPr>
        <w:t>,罗龙皂,蒋太明.贵州省农产品产地环境质量现状及其评价研究进展[J].农业环境与发展,2012,29(04):11-14.</w:t>
      </w:r>
    </w:p>
    <w:p>
      <w:pPr>
        <w:adjustRightInd w:val="0"/>
        <w:snapToGrid w:val="0"/>
        <w:spacing w:line="360" w:lineRule="auto"/>
        <w:ind w:left="283" w:hanging="283" w:hangingChars="135"/>
        <w:rPr>
          <w:szCs w:val="21"/>
        </w:rPr>
      </w:pPr>
      <w:r>
        <w:rPr>
          <w:rFonts w:hint="eastAsia"/>
          <w:szCs w:val="21"/>
        </w:rPr>
        <w:t>3</w:t>
      </w:r>
      <w:r>
        <w:rPr>
          <w:szCs w:val="21"/>
        </w:rPr>
        <w:t xml:space="preserve">. </w:t>
      </w:r>
      <w:r>
        <w:rPr>
          <w:rFonts w:hint="eastAsia"/>
          <w:szCs w:val="21"/>
        </w:rPr>
        <w:t>张家春</w:t>
      </w:r>
      <w:r>
        <w:rPr>
          <w:szCs w:val="21"/>
        </w:rPr>
        <w:t>,曾宪平,张珍明,文锡梅,张清海,林昌虎.喀斯特林地土壤重金属形态特征及其评价[J].水土保持研究,2019,26(06):347-352+358.</w:t>
      </w:r>
    </w:p>
    <w:p>
      <w:pPr>
        <w:adjustRightInd w:val="0"/>
        <w:snapToGrid w:val="0"/>
        <w:spacing w:line="360" w:lineRule="auto"/>
        <w:rPr>
          <w:szCs w:val="21"/>
        </w:rPr>
      </w:pPr>
      <w:r>
        <w:rPr>
          <w:szCs w:val="21"/>
        </w:rPr>
        <w:t>4.</w:t>
      </w:r>
      <w:r>
        <w:rPr>
          <w:rFonts w:hint="eastAsia"/>
          <w:szCs w:val="21"/>
        </w:rPr>
        <w:t>《中国居民膳食营养素参考摄入量（微量元素）</w:t>
      </w:r>
      <w:r>
        <w:rPr>
          <w:szCs w:val="21"/>
        </w:rPr>
        <w:t>WS</w:t>
      </w:r>
      <w:r>
        <w:rPr>
          <w:rFonts w:hint="eastAsia"/>
          <w:szCs w:val="21"/>
        </w:rPr>
        <w:t>/</w:t>
      </w:r>
      <w:r>
        <w:rPr>
          <w:szCs w:val="21"/>
        </w:rPr>
        <w:t>T 578.3—2017</w:t>
      </w:r>
      <w:r>
        <w:rPr>
          <w:rFonts w:hint="eastAsia"/>
          <w:szCs w:val="21"/>
        </w:rPr>
        <w:t>》中国营养学会</w:t>
      </w:r>
    </w:p>
    <w:p>
      <w:pPr>
        <w:adjustRightInd w:val="0"/>
        <w:snapToGrid w:val="0"/>
        <w:spacing w:line="360" w:lineRule="auto"/>
        <w:ind w:left="420"/>
        <w:rPr>
          <w:b/>
          <w:szCs w:val="21"/>
        </w:rPr>
      </w:pPr>
      <w:r>
        <w:rPr>
          <w:rFonts w:hint="eastAsia"/>
          <w:b/>
          <w:szCs w:val="21"/>
        </w:rPr>
        <w:t>（6）汞和锡</w:t>
      </w:r>
    </w:p>
    <w:p>
      <w:pPr>
        <w:adjustRightInd w:val="0"/>
        <w:snapToGrid w:val="0"/>
        <w:spacing w:line="360" w:lineRule="auto"/>
        <w:ind w:firstLine="424" w:firstLineChars="202"/>
        <w:rPr>
          <w:szCs w:val="21"/>
        </w:rPr>
      </w:pPr>
      <w:r>
        <w:rPr>
          <w:rFonts w:hint="eastAsia"/>
          <w:szCs w:val="21"/>
        </w:rPr>
        <w:t>根据2</w:t>
      </w:r>
      <w:r>
        <w:rPr>
          <w:szCs w:val="21"/>
        </w:rPr>
        <w:t>1</w:t>
      </w:r>
      <w:r>
        <w:rPr>
          <w:rFonts w:hint="eastAsia"/>
          <w:szCs w:val="21"/>
        </w:rPr>
        <w:t>批样品的检测结果显示：2</w:t>
      </w:r>
      <w:r>
        <w:rPr>
          <w:szCs w:val="21"/>
        </w:rPr>
        <w:t>1</w:t>
      </w:r>
      <w:r>
        <w:rPr>
          <w:rFonts w:hint="eastAsia"/>
          <w:szCs w:val="21"/>
        </w:rPr>
        <w:t>批样中，汞未检出。因此，汞不作为铁皮石斛叶污染物的控制指标。</w:t>
      </w:r>
    </w:p>
    <w:p>
      <w:pPr>
        <w:adjustRightInd w:val="0"/>
        <w:snapToGrid w:val="0"/>
        <w:spacing w:line="360" w:lineRule="auto"/>
        <w:ind w:firstLine="424" w:firstLineChars="202"/>
        <w:rPr>
          <w:szCs w:val="21"/>
        </w:rPr>
      </w:pPr>
      <w:r>
        <w:rPr>
          <w:rFonts w:hint="eastAsia"/>
          <w:szCs w:val="21"/>
        </w:rPr>
        <w:t>根据2</w:t>
      </w:r>
      <w:r>
        <w:rPr>
          <w:szCs w:val="21"/>
        </w:rPr>
        <w:t>1</w:t>
      </w:r>
      <w:r>
        <w:rPr>
          <w:rFonts w:hint="eastAsia"/>
          <w:szCs w:val="21"/>
        </w:rPr>
        <w:t>批样品的检测结果显示：检出锡含量最大值为</w:t>
      </w:r>
      <w:r>
        <w:rPr>
          <w:szCs w:val="21"/>
        </w:rPr>
        <w:t xml:space="preserve">0.0476 </w:t>
      </w:r>
      <w:r>
        <w:rPr>
          <w:rFonts w:hint="eastAsia"/>
          <w:szCs w:val="21"/>
        </w:rPr>
        <w:t>mg/Kg，最小值为</w:t>
      </w:r>
      <w:r>
        <w:rPr>
          <w:szCs w:val="21"/>
        </w:rPr>
        <w:t>0.0028</w:t>
      </w:r>
      <w:r>
        <w:rPr>
          <w:rFonts w:hint="eastAsia"/>
          <w:szCs w:val="21"/>
        </w:rPr>
        <w:t xml:space="preserve"> mg/Kg，平均值为</w:t>
      </w:r>
      <w:r>
        <w:rPr>
          <w:szCs w:val="21"/>
        </w:rPr>
        <w:t>0.0282</w:t>
      </w:r>
      <w:r>
        <w:rPr>
          <w:rFonts w:hint="eastAsia"/>
          <w:szCs w:val="21"/>
        </w:rPr>
        <w:t xml:space="preserve"> mg/Kg。现行《食品安全国家标准</w:t>
      </w:r>
      <w:r>
        <w:rPr>
          <w:szCs w:val="21"/>
        </w:rPr>
        <w:t xml:space="preserve"> </w:t>
      </w:r>
      <w:r>
        <w:rPr>
          <w:rFonts w:hint="eastAsia"/>
          <w:szCs w:val="21"/>
        </w:rPr>
        <w:t>食品中污染物限量》</w:t>
      </w:r>
      <w:r>
        <w:rPr>
          <w:szCs w:val="21"/>
        </w:rPr>
        <w:t>（GB 2762-2017）</w:t>
      </w:r>
      <w:r>
        <w:rPr>
          <w:rFonts w:hint="eastAsia"/>
          <w:szCs w:val="21"/>
        </w:rPr>
        <w:t>仅限于采用镀锡薄板容器包装的食品有限量规定，其中限量要求最低的为婴幼儿配方食品、 婴幼儿辅助食品，其限值为≤</w:t>
      </w:r>
      <w:r>
        <w:rPr>
          <w:szCs w:val="21"/>
        </w:rPr>
        <w:t>5</w:t>
      </w:r>
      <w:r>
        <w:rPr>
          <w:rFonts w:hint="eastAsia"/>
          <w:szCs w:val="21"/>
        </w:rPr>
        <w:t>0</w:t>
      </w:r>
      <w:r>
        <w:rPr>
          <w:szCs w:val="21"/>
        </w:rPr>
        <w:t xml:space="preserve"> </w:t>
      </w:r>
      <w:r>
        <w:rPr>
          <w:rFonts w:hint="eastAsia"/>
          <w:szCs w:val="21"/>
        </w:rPr>
        <w:t>mg/kg。与此限值比较，铁皮石斛叶中锡的含量是其5</w:t>
      </w:r>
      <w:r>
        <w:rPr>
          <w:szCs w:val="21"/>
        </w:rPr>
        <w:t>.6</w:t>
      </w:r>
      <w:r>
        <w:rPr>
          <w:rFonts w:hint="eastAsia"/>
          <w:szCs w:val="21"/>
        </w:rPr>
        <w:t>×1</w:t>
      </w:r>
      <w:r>
        <w:rPr>
          <w:szCs w:val="21"/>
        </w:rPr>
        <w:t>0</w:t>
      </w:r>
      <w:r>
        <w:rPr>
          <w:rFonts w:hint="eastAsia"/>
          <w:szCs w:val="21"/>
          <w:vertAlign w:val="superscript"/>
        </w:rPr>
        <w:t>-</w:t>
      </w:r>
      <w:r>
        <w:rPr>
          <w:szCs w:val="21"/>
          <w:vertAlign w:val="superscript"/>
        </w:rPr>
        <w:t>5</w:t>
      </w:r>
      <w:r>
        <w:rPr>
          <w:rFonts w:hint="eastAsia"/>
          <w:szCs w:val="21"/>
        </w:rPr>
        <w:t>~</w:t>
      </w:r>
      <w:r>
        <w:rPr>
          <w:szCs w:val="21"/>
        </w:rPr>
        <w:t>9.6</w:t>
      </w:r>
      <w:r>
        <w:rPr>
          <w:rFonts w:hint="eastAsia"/>
          <w:szCs w:val="21"/>
        </w:rPr>
        <w:t>×1</w:t>
      </w:r>
      <w:r>
        <w:rPr>
          <w:szCs w:val="21"/>
        </w:rPr>
        <w:t>0</w:t>
      </w:r>
      <w:r>
        <w:rPr>
          <w:rFonts w:hint="eastAsia"/>
          <w:szCs w:val="21"/>
          <w:vertAlign w:val="superscript"/>
        </w:rPr>
        <w:t>-</w:t>
      </w:r>
      <w:r>
        <w:rPr>
          <w:szCs w:val="21"/>
          <w:vertAlign w:val="superscript"/>
        </w:rPr>
        <w:t>4</w:t>
      </w:r>
      <w:r>
        <w:rPr>
          <w:rFonts w:hint="eastAsia"/>
          <w:szCs w:val="21"/>
        </w:rPr>
        <w:t>倍。因此，锡也不作为铁皮石斛叶污染物的控制指标。</w:t>
      </w:r>
    </w:p>
    <w:p>
      <w:pPr>
        <w:adjustRightInd w:val="0"/>
        <w:snapToGrid w:val="0"/>
        <w:spacing w:line="360" w:lineRule="auto"/>
        <w:ind w:firstLine="424" w:firstLineChars="202"/>
        <w:rPr>
          <w:szCs w:val="21"/>
        </w:rPr>
      </w:pPr>
    </w:p>
    <w:p>
      <w:pPr>
        <w:numPr>
          <w:ilvl w:val="255"/>
          <w:numId w:val="0"/>
        </w:numPr>
        <w:adjustRightInd w:val="0"/>
        <w:snapToGrid w:val="0"/>
        <w:spacing w:line="360" w:lineRule="auto"/>
        <w:ind w:firstLine="420"/>
        <w:rPr>
          <w:b/>
          <w:szCs w:val="21"/>
        </w:rPr>
      </w:pPr>
      <w:r>
        <w:rPr>
          <w:b/>
          <w:szCs w:val="21"/>
        </w:rPr>
        <w:t xml:space="preserve">5. </w:t>
      </w:r>
      <w:r>
        <w:rPr>
          <w:rFonts w:hint="eastAsia"/>
          <w:b/>
          <w:szCs w:val="21"/>
        </w:rPr>
        <w:t>农药残留限量</w:t>
      </w:r>
    </w:p>
    <w:p>
      <w:pPr>
        <w:numPr>
          <w:ilvl w:val="255"/>
          <w:numId w:val="0"/>
        </w:numPr>
        <w:adjustRightInd w:val="0"/>
        <w:snapToGrid w:val="0"/>
        <w:spacing w:line="360" w:lineRule="auto"/>
        <w:ind w:firstLine="420"/>
        <w:rPr>
          <w:szCs w:val="21"/>
        </w:rPr>
      </w:pPr>
      <w:r>
        <w:rPr>
          <w:rFonts w:hint="eastAsia"/>
          <w:szCs w:val="21"/>
        </w:rPr>
        <w:t>现行的食品安全国家标准、行业标准和地方标准未对铁皮石斛叶中农药残留限量作出规定。因此，在本标准制定过程中，对毒死蜱、百菌清和高效氯氟氰菊酯等35种市售常用农药残留进行了筛查。对3</w:t>
      </w:r>
      <w:r>
        <w:rPr>
          <w:szCs w:val="21"/>
        </w:rPr>
        <w:t>5</w:t>
      </w:r>
      <w:r>
        <w:rPr>
          <w:rFonts w:hint="eastAsia"/>
          <w:szCs w:val="21"/>
        </w:rPr>
        <w:t>种市售常用农药残留筛查结果表明，在贵州铁皮石斛种植区，仅有三种农药在其叶内有残留，分别是毒死蜱、百菌清和高效氯氟氰菊酯（表2）。</w:t>
      </w:r>
    </w:p>
    <w:p>
      <w:pPr>
        <w:adjustRightInd w:val="0"/>
        <w:snapToGrid w:val="0"/>
        <w:spacing w:line="360" w:lineRule="auto"/>
        <w:ind w:left="420"/>
        <w:rPr>
          <w:b/>
          <w:szCs w:val="21"/>
        </w:rPr>
      </w:pPr>
      <w:r>
        <w:rPr>
          <w:rFonts w:hint="eastAsia"/>
          <w:b/>
          <w:szCs w:val="21"/>
        </w:rPr>
        <w:t>（1）毒死蜱</w:t>
      </w:r>
    </w:p>
    <w:p>
      <w:pPr>
        <w:numPr>
          <w:ilvl w:val="255"/>
          <w:numId w:val="0"/>
        </w:numPr>
        <w:adjustRightInd w:val="0"/>
        <w:snapToGrid w:val="0"/>
        <w:spacing w:line="360" w:lineRule="auto"/>
        <w:ind w:firstLine="420"/>
        <w:rPr>
          <w:szCs w:val="21"/>
        </w:rPr>
      </w:pPr>
      <w:r>
        <w:rPr>
          <w:rFonts w:hint="eastAsia"/>
          <w:szCs w:val="21"/>
        </w:rPr>
        <w:t>由于铁皮石斛叶在民间更多是用其叶进行泡茶食用，因此，在制定标准过程中，主要参考叶类茶叶的国家标准、行业标准和地方标准为参照。现行标准中，《中华人民共和国农业行业标准 绿色食品 茶叶》</w:t>
      </w:r>
      <w:r>
        <w:rPr>
          <w:szCs w:val="21"/>
        </w:rPr>
        <w:t>（NY/T 228）</w:t>
      </w:r>
      <w:r>
        <w:rPr>
          <w:rFonts w:hint="eastAsia"/>
          <w:szCs w:val="21"/>
        </w:rPr>
        <w:t>和《贵州省地方标准 都匀毛尖》（</w:t>
      </w:r>
      <w:r>
        <w:rPr>
          <w:szCs w:val="21"/>
        </w:rPr>
        <w:t>DB52/T 433</w:t>
      </w:r>
      <w:r>
        <w:rPr>
          <w:rFonts w:hint="eastAsia"/>
          <w:szCs w:val="21"/>
        </w:rPr>
        <w:t>-</w:t>
      </w:r>
      <w:r>
        <w:rPr>
          <w:szCs w:val="21"/>
        </w:rPr>
        <w:t>2018</w:t>
      </w:r>
      <w:r>
        <w:rPr>
          <w:rFonts w:hint="eastAsia"/>
          <w:szCs w:val="21"/>
        </w:rPr>
        <w:t>）中对毒死蜱限量未作规定，而《中华人民共和国农业行业标准 绿色食品 代用茶》</w:t>
      </w:r>
      <w:r>
        <w:rPr>
          <w:szCs w:val="21"/>
        </w:rPr>
        <w:t>（NY/T 2140）</w:t>
      </w:r>
      <w:r>
        <w:rPr>
          <w:rFonts w:hint="eastAsia"/>
          <w:szCs w:val="21"/>
        </w:rPr>
        <w:t>中对毒死蜱的限量为≤</w:t>
      </w:r>
      <w:r>
        <w:rPr>
          <w:szCs w:val="21"/>
        </w:rPr>
        <w:t xml:space="preserve">0.5 </w:t>
      </w:r>
      <w:r>
        <w:rPr>
          <w:rFonts w:hint="eastAsia"/>
          <w:szCs w:val="21"/>
        </w:rPr>
        <w:t>mg/kg；《中华人民共和国供销合作行业标准 代用茶》</w:t>
      </w:r>
      <w:r>
        <w:rPr>
          <w:szCs w:val="21"/>
        </w:rPr>
        <w:t>（GH/T 1091）</w:t>
      </w:r>
      <w:r>
        <w:rPr>
          <w:rFonts w:hint="eastAsia"/>
          <w:szCs w:val="21"/>
        </w:rPr>
        <w:t>中对毒死蜱限量为≤</w:t>
      </w:r>
      <w:r>
        <w:rPr>
          <w:szCs w:val="21"/>
        </w:rPr>
        <w:t xml:space="preserve">0.2 </w:t>
      </w:r>
      <w:r>
        <w:rPr>
          <w:rFonts w:hint="eastAsia"/>
          <w:szCs w:val="21"/>
        </w:rPr>
        <w:t>mg/kg；《中华人民共和国国家标准 食品安全国家标准食品中农药最大残留限量》GB 2763对蔬菜叶类食品毒死蜱限量规定为≤0.05 mg/Kg。依据2</w:t>
      </w:r>
      <w:r>
        <w:rPr>
          <w:szCs w:val="21"/>
        </w:rPr>
        <w:t>1</w:t>
      </w:r>
      <w:r>
        <w:rPr>
          <w:rFonts w:hint="eastAsia"/>
          <w:szCs w:val="21"/>
        </w:rPr>
        <w:t>批样品的筛查结果，毒死蜱检测出最大值为0.015 mg/Kg，最小值为未检出，平均值为0</w:t>
      </w:r>
      <w:r>
        <w:rPr>
          <w:szCs w:val="21"/>
        </w:rPr>
        <w:t>.0013</w:t>
      </w:r>
      <w:r>
        <w:rPr>
          <w:rFonts w:hint="eastAsia"/>
          <w:szCs w:val="21"/>
        </w:rPr>
        <w:t xml:space="preserve"> mg/Kg。2</w:t>
      </w:r>
      <w:r>
        <w:rPr>
          <w:szCs w:val="21"/>
        </w:rPr>
        <w:t>1</w:t>
      </w:r>
      <w:r>
        <w:rPr>
          <w:rFonts w:hint="eastAsia"/>
          <w:szCs w:val="21"/>
        </w:rPr>
        <w:t>批样品中检出的最大值小于GB 2763对蔬菜食品毒死蜱规定的最大残留限量0.05 mg/Kg。由此，在本标准中规定铁皮石斛叶中毒死蜱限量为≤</w:t>
      </w:r>
      <w:r>
        <w:rPr>
          <w:szCs w:val="21"/>
        </w:rPr>
        <w:t xml:space="preserve">0.05 </w:t>
      </w:r>
      <w:r>
        <w:rPr>
          <w:rFonts w:hint="eastAsia"/>
          <w:szCs w:val="21"/>
        </w:rPr>
        <w:t>mg/kg，可以确保食用安全。</w:t>
      </w:r>
    </w:p>
    <w:p>
      <w:pPr>
        <w:numPr>
          <w:ilvl w:val="255"/>
          <w:numId w:val="0"/>
        </w:numPr>
        <w:adjustRightInd w:val="0"/>
        <w:snapToGrid w:val="0"/>
        <w:spacing w:line="360" w:lineRule="auto"/>
        <w:ind w:firstLine="420"/>
        <w:rPr>
          <w:b/>
          <w:szCs w:val="21"/>
        </w:rPr>
      </w:pPr>
      <w:r>
        <w:rPr>
          <w:rFonts w:hint="eastAsia"/>
          <w:b/>
          <w:szCs w:val="21"/>
        </w:rPr>
        <w:t>（</w:t>
      </w:r>
      <w:r>
        <w:rPr>
          <w:b/>
          <w:szCs w:val="21"/>
        </w:rPr>
        <w:t>2</w:t>
      </w:r>
      <w:r>
        <w:rPr>
          <w:rFonts w:hint="eastAsia"/>
          <w:b/>
          <w:szCs w:val="21"/>
        </w:rPr>
        <w:t>）百菌清</w:t>
      </w:r>
    </w:p>
    <w:p>
      <w:pPr>
        <w:numPr>
          <w:ilvl w:val="255"/>
          <w:numId w:val="0"/>
        </w:numPr>
        <w:adjustRightInd w:val="0"/>
        <w:snapToGrid w:val="0"/>
        <w:spacing w:line="360" w:lineRule="auto"/>
        <w:ind w:firstLine="420"/>
        <w:rPr>
          <w:szCs w:val="21"/>
        </w:rPr>
      </w:pPr>
      <w:r>
        <w:rPr>
          <w:rFonts w:hint="eastAsia"/>
          <w:szCs w:val="21"/>
        </w:rPr>
        <w:t>由于铁皮石斛叶在民间更多是用其叶进行泡茶食用，因此，在制定标准过程中，主要参考叶类茶叶的国家标准、行业标准和地方标准为参照。现行标准中，《中华人民共和国农业行业标准 绿色食品 茶叶》</w:t>
      </w:r>
      <w:r>
        <w:rPr>
          <w:szCs w:val="21"/>
        </w:rPr>
        <w:t>（NY/T 228）</w:t>
      </w:r>
      <w:r>
        <w:rPr>
          <w:rFonts w:hint="eastAsia"/>
          <w:szCs w:val="21"/>
        </w:rPr>
        <w:t>、《中华人民共和国农业行业标准 绿色食品 代用茶》</w:t>
      </w:r>
      <w:r>
        <w:rPr>
          <w:szCs w:val="21"/>
        </w:rPr>
        <w:t>（NY/T 2140）</w:t>
      </w:r>
      <w:r>
        <w:rPr>
          <w:rFonts w:hint="eastAsia"/>
          <w:szCs w:val="21"/>
        </w:rPr>
        <w:t>、《中华人民共和国供销合作行业标准 代用茶》</w:t>
      </w:r>
      <w:r>
        <w:rPr>
          <w:szCs w:val="21"/>
        </w:rPr>
        <w:t>（GH/T 1091）</w:t>
      </w:r>
      <w:r>
        <w:rPr>
          <w:rFonts w:hint="eastAsia"/>
          <w:szCs w:val="21"/>
        </w:rPr>
        <w:t>和《贵州省地方标准 都匀毛尖》（</w:t>
      </w:r>
      <w:r>
        <w:rPr>
          <w:szCs w:val="21"/>
        </w:rPr>
        <w:t>DB52/T 433</w:t>
      </w:r>
      <w:r>
        <w:rPr>
          <w:rFonts w:hint="eastAsia"/>
          <w:szCs w:val="21"/>
        </w:rPr>
        <w:t>-</w:t>
      </w:r>
      <w:r>
        <w:rPr>
          <w:szCs w:val="21"/>
        </w:rPr>
        <w:t>2018</w:t>
      </w:r>
      <w:r>
        <w:rPr>
          <w:rFonts w:hint="eastAsia"/>
          <w:szCs w:val="21"/>
        </w:rPr>
        <w:t>）中均为对百菌清限量未作规定，而《中华人民共和国国家标准 食品安全国家标准食品中农药最大残留限量》GB 2763对蔬菜叶类食品百菌清限量规定为≤5 mg/Kg。依据2</w:t>
      </w:r>
      <w:r>
        <w:rPr>
          <w:szCs w:val="21"/>
        </w:rPr>
        <w:t>1</w:t>
      </w:r>
      <w:r>
        <w:rPr>
          <w:rFonts w:hint="eastAsia"/>
          <w:szCs w:val="21"/>
        </w:rPr>
        <w:t>批样品的筛查结果，百菌清检测出最大值为0.255 mg/Kg，最小值为未检出，平均值为0</w:t>
      </w:r>
      <w:r>
        <w:rPr>
          <w:szCs w:val="21"/>
        </w:rPr>
        <w:t>.048</w:t>
      </w:r>
      <w:r>
        <w:rPr>
          <w:rFonts w:hint="eastAsia"/>
          <w:szCs w:val="21"/>
        </w:rPr>
        <w:t>mg/Kg。2</w:t>
      </w:r>
      <w:r>
        <w:rPr>
          <w:szCs w:val="21"/>
        </w:rPr>
        <w:t>1</w:t>
      </w:r>
      <w:r>
        <w:rPr>
          <w:rFonts w:hint="eastAsia"/>
          <w:szCs w:val="21"/>
        </w:rPr>
        <w:t>批样品中检出的最大值小于GB 2763对蔬菜食品百菌清规定的最大残留限量5 mg/Kg。由此，在本标准中规定铁皮石斛叶中百菌清限量为≤</w:t>
      </w:r>
      <w:r>
        <w:rPr>
          <w:szCs w:val="21"/>
        </w:rPr>
        <w:t xml:space="preserve">1 </w:t>
      </w:r>
      <w:r>
        <w:rPr>
          <w:rFonts w:hint="eastAsia"/>
          <w:szCs w:val="21"/>
        </w:rPr>
        <w:t>mg/kg，可以确保食用安全。</w:t>
      </w:r>
    </w:p>
    <w:p>
      <w:pPr>
        <w:numPr>
          <w:ilvl w:val="255"/>
          <w:numId w:val="0"/>
        </w:numPr>
        <w:adjustRightInd w:val="0"/>
        <w:snapToGrid w:val="0"/>
        <w:spacing w:line="360" w:lineRule="auto"/>
        <w:ind w:firstLine="420"/>
        <w:rPr>
          <w:b/>
          <w:szCs w:val="21"/>
        </w:rPr>
      </w:pPr>
      <w:r>
        <w:rPr>
          <w:rFonts w:hint="eastAsia"/>
          <w:b/>
          <w:szCs w:val="21"/>
        </w:rPr>
        <w:t>（</w:t>
      </w:r>
      <w:r>
        <w:rPr>
          <w:b/>
          <w:szCs w:val="21"/>
        </w:rPr>
        <w:t>3</w:t>
      </w:r>
      <w:r>
        <w:rPr>
          <w:rFonts w:hint="eastAsia"/>
          <w:b/>
          <w:szCs w:val="21"/>
        </w:rPr>
        <w:t>）高效氯氟氰菊酯</w:t>
      </w:r>
    </w:p>
    <w:p>
      <w:pPr>
        <w:numPr>
          <w:ilvl w:val="255"/>
          <w:numId w:val="0"/>
        </w:numPr>
        <w:adjustRightInd w:val="0"/>
        <w:snapToGrid w:val="0"/>
        <w:spacing w:line="360" w:lineRule="auto"/>
        <w:ind w:firstLine="420"/>
        <w:rPr>
          <w:b/>
          <w:szCs w:val="21"/>
        </w:rPr>
      </w:pPr>
      <w:r>
        <w:rPr>
          <w:rFonts w:hint="eastAsia"/>
          <w:szCs w:val="21"/>
        </w:rPr>
        <w:t>由于铁皮石斛叶在民间更多是用其叶进行泡茶食用，因此，在制定标准过程中，主要参考叶类茶叶的国家标准、行业标准和地方标准为参照。现行标准中，《中华人民共和国农业行业标准 绿色食品 代用茶》</w:t>
      </w:r>
      <w:r>
        <w:rPr>
          <w:szCs w:val="21"/>
        </w:rPr>
        <w:t>（NY/T 2140）</w:t>
      </w:r>
      <w:r>
        <w:rPr>
          <w:rFonts w:hint="eastAsia"/>
          <w:szCs w:val="21"/>
        </w:rPr>
        <w:t>、中华人民共和国供销合作行业标准 代用茶》</w:t>
      </w:r>
      <w:r>
        <w:rPr>
          <w:szCs w:val="21"/>
        </w:rPr>
        <w:t>（GH/T 1091）</w:t>
      </w:r>
      <w:r>
        <w:rPr>
          <w:rFonts w:hint="eastAsia"/>
          <w:szCs w:val="21"/>
        </w:rPr>
        <w:t>和《贵州省地方标准 都匀毛尖》（</w:t>
      </w:r>
      <w:r>
        <w:rPr>
          <w:szCs w:val="21"/>
        </w:rPr>
        <w:t>DB52/T 433</w:t>
      </w:r>
      <w:r>
        <w:rPr>
          <w:rFonts w:hint="eastAsia"/>
          <w:szCs w:val="21"/>
        </w:rPr>
        <w:t>-</w:t>
      </w:r>
      <w:r>
        <w:rPr>
          <w:szCs w:val="21"/>
        </w:rPr>
        <w:t>2018</w:t>
      </w:r>
      <w:r>
        <w:rPr>
          <w:rFonts w:hint="eastAsia"/>
          <w:szCs w:val="21"/>
        </w:rPr>
        <w:t>）中均为对高效氯氟氰菊酯限量未作规定，而《中华人民共和国农业行业标准 绿色食品 茶叶》</w:t>
      </w:r>
      <w:r>
        <w:rPr>
          <w:szCs w:val="21"/>
        </w:rPr>
        <w:t>（NY/T 228）</w:t>
      </w:r>
      <w:r>
        <w:rPr>
          <w:rFonts w:hint="eastAsia"/>
          <w:szCs w:val="21"/>
        </w:rPr>
        <w:t>中对高效氯氟氰菊酯限量为≤3 mg/Kg和《中华人民共和国国家标准 食品安全国家标准食品中农药最大残留限量》GB 2763对蔬菜叶类食品高效氯氟氰菊酯限量规定为≤1 mg/Kg。依据2</w:t>
      </w:r>
      <w:r>
        <w:rPr>
          <w:szCs w:val="21"/>
        </w:rPr>
        <w:t>1</w:t>
      </w:r>
      <w:r>
        <w:rPr>
          <w:rFonts w:hint="eastAsia"/>
          <w:szCs w:val="21"/>
        </w:rPr>
        <w:t>批样品的筛查结果，高效氯氟氰菊酯检测出最大值为0.869 mg/Kg，最小值为未检出，平均值为0</w:t>
      </w:r>
      <w:r>
        <w:rPr>
          <w:szCs w:val="21"/>
        </w:rPr>
        <w:t>.059</w:t>
      </w:r>
      <w:r>
        <w:rPr>
          <w:rFonts w:hint="eastAsia"/>
          <w:szCs w:val="21"/>
        </w:rPr>
        <w:t>mg/Kg。2</w:t>
      </w:r>
      <w:r>
        <w:rPr>
          <w:szCs w:val="21"/>
        </w:rPr>
        <w:t>1</w:t>
      </w:r>
      <w:r>
        <w:rPr>
          <w:rFonts w:hint="eastAsia"/>
          <w:szCs w:val="21"/>
        </w:rPr>
        <w:t>批样品中检出的最大值小于GB 2763对蔬菜食品高效氯氟氰菊酯规定的最大残留限量</w:t>
      </w:r>
      <w:r>
        <w:rPr>
          <w:szCs w:val="21"/>
        </w:rPr>
        <w:t>1</w:t>
      </w:r>
      <w:r>
        <w:rPr>
          <w:rFonts w:hint="eastAsia"/>
          <w:szCs w:val="21"/>
        </w:rPr>
        <w:t xml:space="preserve"> mg/Kg。由此，在本标准中规定铁皮石斛叶中</w:t>
      </w:r>
      <w:r>
        <w:rPr>
          <w:rFonts w:hint="eastAsia"/>
          <w:b/>
          <w:szCs w:val="21"/>
        </w:rPr>
        <w:t>百菌清</w:t>
      </w:r>
      <w:r>
        <w:rPr>
          <w:rFonts w:hint="eastAsia"/>
          <w:szCs w:val="21"/>
        </w:rPr>
        <w:t>限量为≤</w:t>
      </w:r>
      <w:r>
        <w:rPr>
          <w:szCs w:val="21"/>
        </w:rPr>
        <w:t xml:space="preserve">1 </w:t>
      </w:r>
      <w:r>
        <w:rPr>
          <w:rFonts w:hint="eastAsia"/>
          <w:szCs w:val="21"/>
        </w:rPr>
        <w:t>mg/kg，可以确保食用安全。</w:t>
      </w:r>
    </w:p>
    <w:p>
      <w:pPr>
        <w:numPr>
          <w:ilvl w:val="255"/>
          <w:numId w:val="0"/>
        </w:numPr>
        <w:adjustRightInd w:val="0"/>
        <w:snapToGrid w:val="0"/>
        <w:spacing w:line="360" w:lineRule="auto"/>
        <w:ind w:firstLine="420"/>
        <w:rPr>
          <w:b/>
          <w:szCs w:val="21"/>
        </w:rPr>
      </w:pPr>
      <w:r>
        <w:rPr>
          <w:rFonts w:hint="eastAsia"/>
          <w:b/>
          <w:szCs w:val="21"/>
        </w:rPr>
        <w:t>（4）其他</w:t>
      </w:r>
    </w:p>
    <w:p>
      <w:pPr>
        <w:numPr>
          <w:ilvl w:val="255"/>
          <w:numId w:val="0"/>
        </w:numPr>
        <w:adjustRightInd w:val="0"/>
        <w:snapToGrid w:val="0"/>
        <w:spacing w:line="360" w:lineRule="auto"/>
        <w:ind w:firstLine="420"/>
        <w:rPr>
          <w:szCs w:val="21"/>
        </w:rPr>
      </w:pPr>
      <w:r>
        <w:rPr>
          <w:rFonts w:hint="eastAsia"/>
          <w:szCs w:val="21"/>
        </w:rPr>
        <w:t>其他3</w:t>
      </w:r>
      <w:r>
        <w:rPr>
          <w:szCs w:val="21"/>
        </w:rPr>
        <w:t>2</w:t>
      </w:r>
      <w:r>
        <w:rPr>
          <w:rFonts w:hint="eastAsia"/>
          <w:szCs w:val="21"/>
        </w:rPr>
        <w:t>种市售常用农药均未检出，因此，其他3</w:t>
      </w:r>
      <w:r>
        <w:rPr>
          <w:szCs w:val="21"/>
        </w:rPr>
        <w:t>2</w:t>
      </w:r>
      <w:r>
        <w:rPr>
          <w:rFonts w:hint="eastAsia"/>
          <w:szCs w:val="21"/>
        </w:rPr>
        <w:t>种市售常用农药不作为铁皮石斛叶农药残留的控制指标。</w:t>
      </w:r>
    </w:p>
    <w:p>
      <w:pPr>
        <w:numPr>
          <w:ilvl w:val="255"/>
          <w:numId w:val="0"/>
        </w:numPr>
        <w:adjustRightInd w:val="0"/>
        <w:snapToGrid w:val="0"/>
        <w:spacing w:line="360" w:lineRule="auto"/>
        <w:ind w:firstLine="420"/>
        <w:rPr>
          <w:szCs w:val="21"/>
        </w:rPr>
      </w:pPr>
    </w:p>
    <w:p>
      <w:pPr>
        <w:numPr>
          <w:ilvl w:val="255"/>
          <w:numId w:val="0"/>
        </w:numPr>
        <w:adjustRightInd w:val="0"/>
        <w:snapToGrid w:val="0"/>
        <w:spacing w:line="360" w:lineRule="auto"/>
        <w:ind w:firstLine="420"/>
        <w:rPr>
          <w:rFonts w:hint="eastAsia"/>
          <w:szCs w:val="21"/>
        </w:rPr>
      </w:pPr>
    </w:p>
    <w:p>
      <w:pPr>
        <w:numPr>
          <w:ilvl w:val="255"/>
          <w:numId w:val="0"/>
        </w:numPr>
        <w:adjustRightInd w:val="0"/>
        <w:snapToGrid w:val="0"/>
        <w:spacing w:line="360" w:lineRule="auto"/>
        <w:ind w:firstLine="420"/>
        <w:jc w:val="center"/>
        <w:rPr>
          <w:b/>
          <w:szCs w:val="21"/>
        </w:rPr>
      </w:pPr>
      <w:r>
        <w:rPr>
          <w:rFonts w:hint="eastAsia"/>
          <w:b/>
          <w:szCs w:val="21"/>
        </w:rPr>
        <w:t>表2</w:t>
      </w:r>
      <w:r>
        <w:rPr>
          <w:b/>
          <w:szCs w:val="21"/>
        </w:rPr>
        <w:t xml:space="preserve"> </w:t>
      </w:r>
      <w:r>
        <w:rPr>
          <w:rFonts w:hint="eastAsia"/>
          <w:b/>
          <w:szCs w:val="21"/>
        </w:rPr>
        <w:t>对</w:t>
      </w:r>
      <w:r>
        <w:rPr>
          <w:b/>
          <w:szCs w:val="21"/>
        </w:rPr>
        <w:t>35</w:t>
      </w:r>
      <w:r>
        <w:rPr>
          <w:rFonts w:hint="eastAsia"/>
          <w:b/>
          <w:szCs w:val="21"/>
        </w:rPr>
        <w:t>种市售常用农药被检测出有农药残留的情况一览表</w:t>
      </w:r>
    </w:p>
    <w:tbl>
      <w:tblPr>
        <w:tblStyle w:val="7"/>
        <w:tblW w:w="5000" w:type="pct"/>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2865"/>
        <w:gridCol w:w="1995"/>
        <w:gridCol w:w="2205"/>
        <w:gridCol w:w="1995"/>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1581" w:type="pct"/>
            <w:vAlign w:val="center"/>
          </w:tcPr>
          <w:p>
            <w:pPr>
              <w:spacing w:line="360" w:lineRule="auto"/>
              <w:jc w:val="center"/>
              <w:rPr>
                <w:b/>
                <w:sz w:val="18"/>
                <w:szCs w:val="18"/>
              </w:rPr>
            </w:pPr>
            <w:r>
              <w:rPr>
                <w:rFonts w:hint="eastAsia"/>
                <w:b/>
                <w:sz w:val="18"/>
                <w:szCs w:val="18"/>
              </w:rPr>
              <w:t>样品序号</w:t>
            </w:r>
          </w:p>
        </w:tc>
        <w:tc>
          <w:tcPr>
            <w:tcW w:w="1101" w:type="pct"/>
            <w:vAlign w:val="center"/>
          </w:tcPr>
          <w:p>
            <w:pPr>
              <w:spacing w:line="360" w:lineRule="auto"/>
              <w:jc w:val="center"/>
              <w:rPr>
                <w:b/>
                <w:sz w:val="18"/>
                <w:szCs w:val="18"/>
              </w:rPr>
            </w:pPr>
            <w:r>
              <w:rPr>
                <w:rFonts w:hint="eastAsia"/>
                <w:b/>
                <w:sz w:val="18"/>
                <w:szCs w:val="18"/>
              </w:rPr>
              <w:t>毒死蜱</w:t>
            </w:r>
          </w:p>
        </w:tc>
        <w:tc>
          <w:tcPr>
            <w:tcW w:w="1217" w:type="pct"/>
            <w:vAlign w:val="center"/>
          </w:tcPr>
          <w:p>
            <w:pPr>
              <w:spacing w:line="360" w:lineRule="auto"/>
              <w:jc w:val="center"/>
              <w:rPr>
                <w:b/>
                <w:sz w:val="18"/>
                <w:szCs w:val="18"/>
              </w:rPr>
            </w:pPr>
            <w:r>
              <w:rPr>
                <w:rFonts w:hint="eastAsia"/>
                <w:b/>
                <w:sz w:val="18"/>
                <w:szCs w:val="18"/>
              </w:rPr>
              <w:t>百菌清</w:t>
            </w:r>
          </w:p>
        </w:tc>
        <w:tc>
          <w:tcPr>
            <w:tcW w:w="1101" w:type="pct"/>
            <w:vAlign w:val="center"/>
          </w:tcPr>
          <w:p>
            <w:pPr>
              <w:spacing w:line="360" w:lineRule="auto"/>
              <w:jc w:val="center"/>
              <w:rPr>
                <w:b/>
                <w:sz w:val="18"/>
                <w:szCs w:val="18"/>
              </w:rPr>
            </w:pPr>
            <w:r>
              <w:rPr>
                <w:rFonts w:hint="eastAsia"/>
                <w:b/>
                <w:sz w:val="18"/>
                <w:szCs w:val="18"/>
              </w:rPr>
              <w:t>高效氯氟氰菊酯</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1581" w:type="pct"/>
            <w:vAlign w:val="center"/>
          </w:tcPr>
          <w:p>
            <w:pPr>
              <w:spacing w:line="360" w:lineRule="auto"/>
              <w:jc w:val="center"/>
              <w:rPr>
                <w:sz w:val="18"/>
                <w:szCs w:val="18"/>
              </w:rPr>
            </w:pPr>
            <w:r>
              <w:rPr>
                <w:sz w:val="18"/>
                <w:szCs w:val="18"/>
              </w:rPr>
              <w:t>TPSH2019-25</w:t>
            </w:r>
          </w:p>
        </w:tc>
        <w:tc>
          <w:tcPr>
            <w:tcW w:w="1101" w:type="pct"/>
            <w:vAlign w:val="center"/>
          </w:tcPr>
          <w:p>
            <w:pPr>
              <w:spacing w:line="360" w:lineRule="auto"/>
              <w:jc w:val="center"/>
              <w:rPr>
                <w:sz w:val="18"/>
                <w:szCs w:val="18"/>
              </w:rPr>
            </w:pPr>
            <w:r>
              <w:rPr>
                <w:rFonts w:hint="eastAsia"/>
                <w:sz w:val="18"/>
                <w:szCs w:val="18"/>
              </w:rPr>
              <w:t>—</w:t>
            </w:r>
          </w:p>
        </w:tc>
        <w:tc>
          <w:tcPr>
            <w:tcW w:w="1217" w:type="pct"/>
            <w:vAlign w:val="center"/>
          </w:tcPr>
          <w:p>
            <w:pPr>
              <w:spacing w:line="360" w:lineRule="auto"/>
              <w:jc w:val="center"/>
              <w:rPr>
                <w:sz w:val="18"/>
                <w:szCs w:val="18"/>
              </w:rPr>
            </w:pPr>
            <w:r>
              <w:rPr>
                <w:rFonts w:hint="eastAsia"/>
                <w:sz w:val="18"/>
                <w:szCs w:val="18"/>
              </w:rPr>
              <w:t>0.1</w:t>
            </w:r>
            <w:r>
              <w:rPr>
                <w:sz w:val="18"/>
                <w:szCs w:val="18"/>
              </w:rPr>
              <w:t>08</w:t>
            </w:r>
          </w:p>
        </w:tc>
        <w:tc>
          <w:tcPr>
            <w:tcW w:w="1101" w:type="pct"/>
          </w:tcPr>
          <w:p>
            <w:pPr>
              <w:jc w:val="center"/>
            </w:pPr>
            <w:r>
              <w:rPr>
                <w:rFonts w:hint="eastAsia"/>
                <w:sz w:val="18"/>
                <w:szCs w:val="18"/>
              </w:rPr>
              <w:t>—</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1581" w:type="pct"/>
            <w:vAlign w:val="center"/>
          </w:tcPr>
          <w:p>
            <w:pPr>
              <w:spacing w:line="360" w:lineRule="auto"/>
              <w:jc w:val="center"/>
              <w:rPr>
                <w:sz w:val="18"/>
                <w:szCs w:val="18"/>
              </w:rPr>
            </w:pPr>
            <w:r>
              <w:rPr>
                <w:sz w:val="18"/>
                <w:szCs w:val="18"/>
              </w:rPr>
              <w:t>TPSH2019-26</w:t>
            </w:r>
          </w:p>
        </w:tc>
        <w:tc>
          <w:tcPr>
            <w:tcW w:w="1101" w:type="pct"/>
          </w:tcPr>
          <w:p>
            <w:pPr>
              <w:jc w:val="center"/>
            </w:pPr>
            <w:r>
              <w:rPr>
                <w:rFonts w:hint="eastAsia"/>
              </w:rPr>
              <w:t>—</w:t>
            </w:r>
          </w:p>
        </w:tc>
        <w:tc>
          <w:tcPr>
            <w:tcW w:w="1217" w:type="pct"/>
            <w:vAlign w:val="center"/>
          </w:tcPr>
          <w:p>
            <w:pPr>
              <w:spacing w:line="360" w:lineRule="auto"/>
              <w:jc w:val="center"/>
              <w:rPr>
                <w:sz w:val="18"/>
                <w:szCs w:val="18"/>
              </w:rPr>
            </w:pPr>
            <w:r>
              <w:rPr>
                <w:rFonts w:hint="eastAsia"/>
                <w:sz w:val="18"/>
                <w:szCs w:val="18"/>
              </w:rPr>
              <w:t>0.</w:t>
            </w:r>
            <w:r>
              <w:rPr>
                <w:sz w:val="18"/>
                <w:szCs w:val="18"/>
              </w:rPr>
              <w:t>228</w:t>
            </w:r>
          </w:p>
        </w:tc>
        <w:tc>
          <w:tcPr>
            <w:tcW w:w="1101" w:type="pct"/>
          </w:tcPr>
          <w:p>
            <w:pPr>
              <w:jc w:val="center"/>
            </w:pPr>
            <w:r>
              <w:rPr>
                <w:rFonts w:hint="eastAsia"/>
                <w:sz w:val="18"/>
                <w:szCs w:val="18"/>
              </w:rPr>
              <w:t>—</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1581" w:type="pct"/>
          </w:tcPr>
          <w:p>
            <w:pPr>
              <w:spacing w:line="360" w:lineRule="auto"/>
              <w:jc w:val="center"/>
              <w:rPr>
                <w:sz w:val="18"/>
                <w:szCs w:val="18"/>
              </w:rPr>
            </w:pPr>
            <w:r>
              <w:rPr>
                <w:sz w:val="18"/>
                <w:szCs w:val="18"/>
              </w:rPr>
              <w:t>TPSH2019-27</w:t>
            </w:r>
          </w:p>
        </w:tc>
        <w:tc>
          <w:tcPr>
            <w:tcW w:w="1101" w:type="pct"/>
          </w:tcPr>
          <w:p>
            <w:pPr>
              <w:jc w:val="center"/>
            </w:pPr>
            <w:r>
              <w:rPr>
                <w:rFonts w:hint="eastAsia"/>
              </w:rPr>
              <w:t>—</w:t>
            </w:r>
          </w:p>
        </w:tc>
        <w:tc>
          <w:tcPr>
            <w:tcW w:w="1217" w:type="pct"/>
            <w:vAlign w:val="center"/>
          </w:tcPr>
          <w:p>
            <w:pPr>
              <w:spacing w:line="360" w:lineRule="auto"/>
              <w:jc w:val="center"/>
              <w:rPr>
                <w:sz w:val="18"/>
                <w:szCs w:val="18"/>
              </w:rPr>
            </w:pPr>
            <w:r>
              <w:rPr>
                <w:rFonts w:hint="eastAsia"/>
                <w:sz w:val="18"/>
                <w:szCs w:val="18"/>
              </w:rPr>
              <w:t>0.1</w:t>
            </w:r>
            <w:r>
              <w:rPr>
                <w:sz w:val="18"/>
                <w:szCs w:val="18"/>
              </w:rPr>
              <w:t>3</w:t>
            </w:r>
            <w:r>
              <w:rPr>
                <w:rFonts w:hint="eastAsia"/>
                <w:sz w:val="18"/>
                <w:szCs w:val="18"/>
              </w:rPr>
              <w:t>4</w:t>
            </w:r>
          </w:p>
        </w:tc>
        <w:tc>
          <w:tcPr>
            <w:tcW w:w="1101" w:type="pct"/>
          </w:tcPr>
          <w:p>
            <w:pPr>
              <w:jc w:val="center"/>
            </w:pPr>
            <w:r>
              <w:rPr>
                <w:rFonts w:hint="eastAsia"/>
                <w:sz w:val="18"/>
                <w:szCs w:val="18"/>
              </w:rPr>
              <w:t>—</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1581" w:type="pct"/>
          </w:tcPr>
          <w:p>
            <w:pPr>
              <w:spacing w:line="360" w:lineRule="auto"/>
              <w:jc w:val="center"/>
              <w:rPr>
                <w:sz w:val="18"/>
                <w:szCs w:val="18"/>
              </w:rPr>
            </w:pPr>
            <w:r>
              <w:rPr>
                <w:sz w:val="18"/>
                <w:szCs w:val="18"/>
              </w:rPr>
              <w:t>TPSH2019-28</w:t>
            </w:r>
          </w:p>
        </w:tc>
        <w:tc>
          <w:tcPr>
            <w:tcW w:w="1101" w:type="pct"/>
          </w:tcPr>
          <w:p>
            <w:pPr>
              <w:jc w:val="center"/>
            </w:pPr>
            <w:r>
              <w:rPr>
                <w:rFonts w:hint="eastAsia"/>
              </w:rPr>
              <w:t>—</w:t>
            </w:r>
          </w:p>
        </w:tc>
        <w:tc>
          <w:tcPr>
            <w:tcW w:w="1217" w:type="pct"/>
            <w:vAlign w:val="center"/>
          </w:tcPr>
          <w:p>
            <w:pPr>
              <w:spacing w:line="360" w:lineRule="auto"/>
              <w:jc w:val="center"/>
              <w:rPr>
                <w:sz w:val="18"/>
                <w:szCs w:val="18"/>
              </w:rPr>
            </w:pPr>
            <w:r>
              <w:rPr>
                <w:rFonts w:hint="eastAsia"/>
                <w:sz w:val="18"/>
                <w:szCs w:val="18"/>
              </w:rPr>
              <w:t>—</w:t>
            </w:r>
          </w:p>
        </w:tc>
        <w:tc>
          <w:tcPr>
            <w:tcW w:w="1101" w:type="pct"/>
          </w:tcPr>
          <w:p>
            <w:pPr>
              <w:jc w:val="center"/>
            </w:pPr>
            <w:r>
              <w:rPr>
                <w:rFonts w:hint="eastAsia"/>
                <w:sz w:val="18"/>
                <w:szCs w:val="18"/>
              </w:rPr>
              <w:t>—</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1581" w:type="pct"/>
          </w:tcPr>
          <w:p>
            <w:pPr>
              <w:spacing w:line="360" w:lineRule="auto"/>
              <w:jc w:val="center"/>
              <w:rPr>
                <w:sz w:val="18"/>
                <w:szCs w:val="18"/>
              </w:rPr>
            </w:pPr>
            <w:r>
              <w:rPr>
                <w:sz w:val="18"/>
                <w:szCs w:val="18"/>
              </w:rPr>
              <w:t>TPSH2019-29</w:t>
            </w:r>
          </w:p>
        </w:tc>
        <w:tc>
          <w:tcPr>
            <w:tcW w:w="1101" w:type="pct"/>
            <w:vAlign w:val="center"/>
          </w:tcPr>
          <w:p>
            <w:pPr>
              <w:spacing w:line="360" w:lineRule="auto"/>
              <w:jc w:val="center"/>
              <w:rPr>
                <w:sz w:val="18"/>
                <w:szCs w:val="18"/>
              </w:rPr>
            </w:pPr>
            <w:r>
              <w:rPr>
                <w:rFonts w:hint="eastAsia"/>
                <w:sz w:val="18"/>
                <w:szCs w:val="18"/>
              </w:rPr>
              <w:t>0.</w:t>
            </w:r>
            <w:r>
              <w:rPr>
                <w:sz w:val="18"/>
                <w:szCs w:val="18"/>
              </w:rPr>
              <w:t>013</w:t>
            </w:r>
          </w:p>
        </w:tc>
        <w:tc>
          <w:tcPr>
            <w:tcW w:w="1217" w:type="pct"/>
            <w:vAlign w:val="center"/>
          </w:tcPr>
          <w:p>
            <w:pPr>
              <w:spacing w:line="360" w:lineRule="auto"/>
              <w:jc w:val="center"/>
              <w:rPr>
                <w:sz w:val="18"/>
                <w:szCs w:val="18"/>
              </w:rPr>
            </w:pPr>
            <w:r>
              <w:rPr>
                <w:rFonts w:hint="eastAsia"/>
                <w:sz w:val="18"/>
                <w:szCs w:val="18"/>
              </w:rPr>
              <w:t>0.</w:t>
            </w:r>
            <w:r>
              <w:rPr>
                <w:sz w:val="18"/>
                <w:szCs w:val="18"/>
              </w:rPr>
              <w:t>170</w:t>
            </w:r>
          </w:p>
        </w:tc>
        <w:tc>
          <w:tcPr>
            <w:tcW w:w="1101" w:type="pct"/>
            <w:vAlign w:val="center"/>
          </w:tcPr>
          <w:p>
            <w:pPr>
              <w:spacing w:line="360" w:lineRule="auto"/>
              <w:jc w:val="center"/>
              <w:rPr>
                <w:sz w:val="18"/>
                <w:szCs w:val="18"/>
              </w:rPr>
            </w:pPr>
            <w:r>
              <w:rPr>
                <w:sz w:val="18"/>
                <w:szCs w:val="18"/>
              </w:rPr>
              <w:t>0.052</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1581" w:type="pct"/>
          </w:tcPr>
          <w:p>
            <w:pPr>
              <w:spacing w:line="360" w:lineRule="auto"/>
              <w:jc w:val="center"/>
              <w:rPr>
                <w:sz w:val="18"/>
                <w:szCs w:val="18"/>
              </w:rPr>
            </w:pPr>
            <w:r>
              <w:rPr>
                <w:sz w:val="18"/>
                <w:szCs w:val="18"/>
              </w:rPr>
              <w:t>TPSH2019-30</w:t>
            </w:r>
          </w:p>
        </w:tc>
        <w:tc>
          <w:tcPr>
            <w:tcW w:w="1101" w:type="pct"/>
          </w:tcPr>
          <w:p>
            <w:pPr>
              <w:jc w:val="center"/>
            </w:pPr>
            <w:r>
              <w:rPr>
                <w:rFonts w:hint="eastAsia"/>
                <w:sz w:val="18"/>
                <w:szCs w:val="18"/>
              </w:rPr>
              <w:t>—</w:t>
            </w:r>
          </w:p>
        </w:tc>
        <w:tc>
          <w:tcPr>
            <w:tcW w:w="1217" w:type="pct"/>
            <w:vAlign w:val="center"/>
          </w:tcPr>
          <w:p>
            <w:pPr>
              <w:spacing w:line="360" w:lineRule="auto"/>
              <w:jc w:val="center"/>
              <w:rPr>
                <w:sz w:val="18"/>
                <w:szCs w:val="18"/>
              </w:rPr>
            </w:pPr>
            <w:r>
              <w:rPr>
                <w:rFonts w:hint="eastAsia"/>
                <w:sz w:val="18"/>
                <w:szCs w:val="18"/>
              </w:rPr>
              <w:t>—</w:t>
            </w:r>
          </w:p>
        </w:tc>
        <w:tc>
          <w:tcPr>
            <w:tcW w:w="1101" w:type="pct"/>
            <w:vAlign w:val="center"/>
          </w:tcPr>
          <w:p>
            <w:pPr>
              <w:spacing w:line="360" w:lineRule="auto"/>
              <w:jc w:val="center"/>
              <w:rPr>
                <w:sz w:val="18"/>
                <w:szCs w:val="18"/>
              </w:rPr>
            </w:pPr>
            <w:r>
              <w:rPr>
                <w:sz w:val="18"/>
                <w:szCs w:val="18"/>
              </w:rPr>
              <w:t>0.292</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1581" w:type="pct"/>
          </w:tcPr>
          <w:p>
            <w:pPr>
              <w:spacing w:line="360" w:lineRule="auto"/>
              <w:jc w:val="center"/>
              <w:rPr>
                <w:sz w:val="18"/>
                <w:szCs w:val="18"/>
              </w:rPr>
            </w:pPr>
            <w:r>
              <w:rPr>
                <w:sz w:val="18"/>
                <w:szCs w:val="18"/>
              </w:rPr>
              <w:t>TPSH2019-32</w:t>
            </w:r>
          </w:p>
        </w:tc>
        <w:tc>
          <w:tcPr>
            <w:tcW w:w="1101" w:type="pct"/>
          </w:tcPr>
          <w:p>
            <w:pPr>
              <w:jc w:val="center"/>
            </w:pPr>
            <w:r>
              <w:rPr>
                <w:rFonts w:hint="eastAsia"/>
                <w:sz w:val="18"/>
                <w:szCs w:val="18"/>
              </w:rPr>
              <w:t>—</w:t>
            </w:r>
          </w:p>
        </w:tc>
        <w:tc>
          <w:tcPr>
            <w:tcW w:w="1217" w:type="pct"/>
            <w:vAlign w:val="center"/>
          </w:tcPr>
          <w:p>
            <w:pPr>
              <w:spacing w:line="360" w:lineRule="auto"/>
              <w:jc w:val="center"/>
              <w:rPr>
                <w:sz w:val="18"/>
                <w:szCs w:val="18"/>
              </w:rPr>
            </w:pPr>
            <w:r>
              <w:rPr>
                <w:rFonts w:hint="eastAsia"/>
                <w:sz w:val="18"/>
                <w:szCs w:val="18"/>
              </w:rPr>
              <w:t>0.2</w:t>
            </w:r>
            <w:r>
              <w:rPr>
                <w:sz w:val="18"/>
                <w:szCs w:val="18"/>
              </w:rPr>
              <w:t>55</w:t>
            </w:r>
          </w:p>
        </w:tc>
        <w:tc>
          <w:tcPr>
            <w:tcW w:w="1101" w:type="pct"/>
          </w:tcPr>
          <w:p>
            <w:pPr>
              <w:jc w:val="center"/>
            </w:pPr>
            <w:r>
              <w:rPr>
                <w:rFonts w:hint="eastAsia"/>
                <w:sz w:val="18"/>
                <w:szCs w:val="18"/>
              </w:rPr>
              <w:t>—</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1581" w:type="pct"/>
          </w:tcPr>
          <w:p>
            <w:pPr>
              <w:spacing w:line="360" w:lineRule="auto"/>
              <w:jc w:val="center"/>
              <w:rPr>
                <w:sz w:val="18"/>
                <w:szCs w:val="18"/>
              </w:rPr>
            </w:pPr>
            <w:r>
              <w:rPr>
                <w:sz w:val="18"/>
                <w:szCs w:val="18"/>
              </w:rPr>
              <w:t>TPSH2019-33</w:t>
            </w:r>
          </w:p>
        </w:tc>
        <w:tc>
          <w:tcPr>
            <w:tcW w:w="1101" w:type="pct"/>
            <w:vAlign w:val="center"/>
          </w:tcPr>
          <w:p>
            <w:pPr>
              <w:spacing w:line="360" w:lineRule="auto"/>
              <w:jc w:val="center"/>
              <w:rPr>
                <w:sz w:val="18"/>
                <w:szCs w:val="18"/>
              </w:rPr>
            </w:pPr>
            <w:r>
              <w:rPr>
                <w:rFonts w:hint="eastAsia"/>
                <w:sz w:val="18"/>
                <w:szCs w:val="18"/>
              </w:rPr>
              <w:t>0.</w:t>
            </w:r>
            <w:r>
              <w:rPr>
                <w:sz w:val="18"/>
                <w:szCs w:val="18"/>
              </w:rPr>
              <w:t>015</w:t>
            </w:r>
          </w:p>
        </w:tc>
        <w:tc>
          <w:tcPr>
            <w:tcW w:w="1217" w:type="pct"/>
            <w:vAlign w:val="center"/>
          </w:tcPr>
          <w:p>
            <w:pPr>
              <w:spacing w:line="360" w:lineRule="auto"/>
              <w:jc w:val="center"/>
              <w:rPr>
                <w:sz w:val="18"/>
                <w:szCs w:val="18"/>
              </w:rPr>
            </w:pPr>
            <w:r>
              <w:rPr>
                <w:rFonts w:hint="eastAsia"/>
                <w:sz w:val="18"/>
                <w:szCs w:val="18"/>
              </w:rPr>
              <w:t>0.</w:t>
            </w:r>
            <w:r>
              <w:rPr>
                <w:sz w:val="18"/>
                <w:szCs w:val="18"/>
              </w:rPr>
              <w:t>058</w:t>
            </w:r>
          </w:p>
        </w:tc>
        <w:tc>
          <w:tcPr>
            <w:tcW w:w="1101" w:type="pct"/>
          </w:tcPr>
          <w:p>
            <w:pPr>
              <w:jc w:val="center"/>
            </w:pPr>
            <w:r>
              <w:rPr>
                <w:rFonts w:hint="eastAsia"/>
                <w:sz w:val="18"/>
                <w:szCs w:val="18"/>
              </w:rPr>
              <w:t>—</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1581" w:type="pct"/>
          </w:tcPr>
          <w:p>
            <w:pPr>
              <w:spacing w:line="360" w:lineRule="auto"/>
              <w:jc w:val="center"/>
              <w:rPr>
                <w:sz w:val="18"/>
                <w:szCs w:val="18"/>
              </w:rPr>
            </w:pPr>
            <w:r>
              <w:rPr>
                <w:sz w:val="18"/>
                <w:szCs w:val="18"/>
              </w:rPr>
              <w:t>TPSH2019-34</w:t>
            </w:r>
          </w:p>
        </w:tc>
        <w:tc>
          <w:tcPr>
            <w:tcW w:w="1101" w:type="pct"/>
          </w:tcPr>
          <w:p>
            <w:pPr>
              <w:jc w:val="center"/>
            </w:pPr>
            <w:r>
              <w:rPr>
                <w:rFonts w:hint="eastAsia"/>
                <w:sz w:val="18"/>
                <w:szCs w:val="18"/>
              </w:rPr>
              <w:t>—</w:t>
            </w:r>
          </w:p>
        </w:tc>
        <w:tc>
          <w:tcPr>
            <w:tcW w:w="1217" w:type="pct"/>
          </w:tcPr>
          <w:p>
            <w:pPr>
              <w:jc w:val="center"/>
            </w:pPr>
            <w:r>
              <w:rPr>
                <w:rFonts w:hint="eastAsia"/>
              </w:rPr>
              <w:t>—</w:t>
            </w:r>
          </w:p>
        </w:tc>
        <w:tc>
          <w:tcPr>
            <w:tcW w:w="1101" w:type="pct"/>
            <w:vAlign w:val="center"/>
          </w:tcPr>
          <w:p>
            <w:pPr>
              <w:spacing w:line="360" w:lineRule="auto"/>
              <w:jc w:val="center"/>
              <w:rPr>
                <w:sz w:val="18"/>
                <w:szCs w:val="18"/>
              </w:rPr>
            </w:pPr>
            <w:r>
              <w:rPr>
                <w:sz w:val="18"/>
                <w:szCs w:val="18"/>
              </w:rPr>
              <w:t>0.869</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1581" w:type="pct"/>
          </w:tcPr>
          <w:p>
            <w:pPr>
              <w:spacing w:line="360" w:lineRule="auto"/>
              <w:jc w:val="center"/>
              <w:rPr>
                <w:sz w:val="18"/>
                <w:szCs w:val="18"/>
              </w:rPr>
            </w:pPr>
            <w:r>
              <w:rPr>
                <w:sz w:val="18"/>
                <w:szCs w:val="18"/>
              </w:rPr>
              <w:t>TPSH2019-35</w:t>
            </w:r>
          </w:p>
        </w:tc>
        <w:tc>
          <w:tcPr>
            <w:tcW w:w="1101" w:type="pct"/>
          </w:tcPr>
          <w:p>
            <w:pPr>
              <w:jc w:val="center"/>
            </w:pPr>
            <w:r>
              <w:rPr>
                <w:rFonts w:hint="eastAsia"/>
                <w:sz w:val="18"/>
                <w:szCs w:val="18"/>
              </w:rPr>
              <w:t>—</w:t>
            </w:r>
          </w:p>
        </w:tc>
        <w:tc>
          <w:tcPr>
            <w:tcW w:w="1217" w:type="pct"/>
          </w:tcPr>
          <w:p>
            <w:pPr>
              <w:jc w:val="center"/>
            </w:pPr>
            <w:r>
              <w:rPr>
                <w:rFonts w:hint="eastAsia"/>
              </w:rPr>
              <w:t>—</w:t>
            </w:r>
          </w:p>
        </w:tc>
        <w:tc>
          <w:tcPr>
            <w:tcW w:w="1101" w:type="pct"/>
            <w:vAlign w:val="center"/>
          </w:tcPr>
          <w:p>
            <w:pPr>
              <w:spacing w:line="360" w:lineRule="auto"/>
              <w:jc w:val="center"/>
              <w:rPr>
                <w:sz w:val="18"/>
                <w:szCs w:val="18"/>
              </w:rPr>
            </w:pPr>
            <w:r>
              <w:rPr>
                <w:sz w:val="18"/>
                <w:szCs w:val="18"/>
              </w:rPr>
              <w:t>0.021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1581" w:type="pct"/>
          </w:tcPr>
          <w:p>
            <w:pPr>
              <w:spacing w:line="360" w:lineRule="auto"/>
              <w:jc w:val="center"/>
              <w:rPr>
                <w:sz w:val="18"/>
                <w:szCs w:val="18"/>
              </w:rPr>
            </w:pPr>
            <w:r>
              <w:rPr>
                <w:sz w:val="18"/>
                <w:szCs w:val="18"/>
              </w:rPr>
              <w:t>TPSH2019-36</w:t>
            </w:r>
          </w:p>
        </w:tc>
        <w:tc>
          <w:tcPr>
            <w:tcW w:w="1101" w:type="pct"/>
          </w:tcPr>
          <w:p>
            <w:pPr>
              <w:jc w:val="center"/>
            </w:pPr>
            <w:r>
              <w:rPr>
                <w:rFonts w:hint="eastAsia"/>
                <w:sz w:val="18"/>
                <w:szCs w:val="18"/>
              </w:rPr>
              <w:t>—</w:t>
            </w:r>
          </w:p>
        </w:tc>
        <w:tc>
          <w:tcPr>
            <w:tcW w:w="1217" w:type="pct"/>
          </w:tcPr>
          <w:p>
            <w:pPr>
              <w:jc w:val="center"/>
            </w:pPr>
            <w:r>
              <w:rPr>
                <w:rFonts w:hint="eastAsia"/>
              </w:rPr>
              <w:t>—</w:t>
            </w:r>
          </w:p>
        </w:tc>
        <w:tc>
          <w:tcPr>
            <w:tcW w:w="1101" w:type="pct"/>
          </w:tcPr>
          <w:p>
            <w:pPr>
              <w:jc w:val="center"/>
            </w:pPr>
            <w:r>
              <w:rPr>
                <w:rFonts w:hint="eastAsia"/>
                <w:sz w:val="18"/>
                <w:szCs w:val="18"/>
              </w:rPr>
              <w:t>—</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1581" w:type="pct"/>
          </w:tcPr>
          <w:p>
            <w:pPr>
              <w:spacing w:line="360" w:lineRule="auto"/>
              <w:jc w:val="center"/>
              <w:rPr>
                <w:sz w:val="18"/>
                <w:szCs w:val="18"/>
              </w:rPr>
            </w:pPr>
            <w:r>
              <w:rPr>
                <w:sz w:val="18"/>
                <w:szCs w:val="18"/>
              </w:rPr>
              <w:t>TPSH2019-37</w:t>
            </w:r>
          </w:p>
        </w:tc>
        <w:tc>
          <w:tcPr>
            <w:tcW w:w="1101" w:type="pct"/>
          </w:tcPr>
          <w:p>
            <w:pPr>
              <w:jc w:val="center"/>
            </w:pPr>
            <w:r>
              <w:rPr>
                <w:rFonts w:hint="eastAsia"/>
                <w:sz w:val="18"/>
                <w:szCs w:val="18"/>
              </w:rPr>
              <w:t>—</w:t>
            </w:r>
          </w:p>
        </w:tc>
        <w:tc>
          <w:tcPr>
            <w:tcW w:w="1217" w:type="pct"/>
          </w:tcPr>
          <w:p>
            <w:pPr>
              <w:jc w:val="center"/>
            </w:pPr>
            <w:r>
              <w:rPr>
                <w:rFonts w:hint="eastAsia"/>
              </w:rPr>
              <w:t>—</w:t>
            </w:r>
          </w:p>
        </w:tc>
        <w:tc>
          <w:tcPr>
            <w:tcW w:w="1101" w:type="pct"/>
          </w:tcPr>
          <w:p>
            <w:pPr>
              <w:jc w:val="center"/>
            </w:pPr>
            <w:r>
              <w:rPr>
                <w:rFonts w:hint="eastAsia"/>
                <w:sz w:val="18"/>
                <w:szCs w:val="18"/>
              </w:rPr>
              <w:t>—</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1581" w:type="pct"/>
          </w:tcPr>
          <w:p>
            <w:pPr>
              <w:spacing w:line="360" w:lineRule="auto"/>
              <w:jc w:val="center"/>
              <w:rPr>
                <w:sz w:val="18"/>
                <w:szCs w:val="18"/>
              </w:rPr>
            </w:pPr>
            <w:r>
              <w:rPr>
                <w:sz w:val="18"/>
                <w:szCs w:val="18"/>
              </w:rPr>
              <w:t>TPSH2019-38</w:t>
            </w:r>
          </w:p>
        </w:tc>
        <w:tc>
          <w:tcPr>
            <w:tcW w:w="1101" w:type="pct"/>
          </w:tcPr>
          <w:p>
            <w:pPr>
              <w:jc w:val="center"/>
            </w:pPr>
            <w:r>
              <w:rPr>
                <w:rFonts w:hint="eastAsia"/>
                <w:sz w:val="18"/>
                <w:szCs w:val="18"/>
              </w:rPr>
              <w:t>—</w:t>
            </w:r>
          </w:p>
        </w:tc>
        <w:tc>
          <w:tcPr>
            <w:tcW w:w="1217" w:type="pct"/>
          </w:tcPr>
          <w:p>
            <w:pPr>
              <w:jc w:val="center"/>
            </w:pPr>
            <w:r>
              <w:rPr>
                <w:rFonts w:hint="eastAsia"/>
              </w:rPr>
              <w:t>—</w:t>
            </w:r>
          </w:p>
        </w:tc>
        <w:tc>
          <w:tcPr>
            <w:tcW w:w="1101" w:type="pct"/>
          </w:tcPr>
          <w:p>
            <w:pPr>
              <w:jc w:val="center"/>
            </w:pPr>
            <w:r>
              <w:rPr>
                <w:rFonts w:hint="eastAsia"/>
                <w:sz w:val="18"/>
                <w:szCs w:val="18"/>
              </w:rPr>
              <w:t>—</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1581" w:type="pct"/>
          </w:tcPr>
          <w:p>
            <w:pPr>
              <w:spacing w:line="360" w:lineRule="auto"/>
              <w:jc w:val="center"/>
              <w:rPr>
                <w:sz w:val="18"/>
                <w:szCs w:val="18"/>
              </w:rPr>
            </w:pPr>
            <w:r>
              <w:rPr>
                <w:sz w:val="18"/>
                <w:szCs w:val="18"/>
              </w:rPr>
              <w:t>TPSH2019-39</w:t>
            </w:r>
          </w:p>
        </w:tc>
        <w:tc>
          <w:tcPr>
            <w:tcW w:w="1101" w:type="pct"/>
          </w:tcPr>
          <w:p>
            <w:pPr>
              <w:jc w:val="center"/>
            </w:pPr>
            <w:r>
              <w:rPr>
                <w:rFonts w:hint="eastAsia"/>
                <w:sz w:val="18"/>
                <w:szCs w:val="18"/>
              </w:rPr>
              <w:t>—</w:t>
            </w:r>
          </w:p>
        </w:tc>
        <w:tc>
          <w:tcPr>
            <w:tcW w:w="1217" w:type="pct"/>
          </w:tcPr>
          <w:p>
            <w:pPr>
              <w:jc w:val="center"/>
            </w:pPr>
            <w:r>
              <w:rPr>
                <w:rFonts w:hint="eastAsia"/>
              </w:rPr>
              <w:t>—</w:t>
            </w:r>
          </w:p>
        </w:tc>
        <w:tc>
          <w:tcPr>
            <w:tcW w:w="1101" w:type="pct"/>
          </w:tcPr>
          <w:p>
            <w:pPr>
              <w:jc w:val="center"/>
            </w:pPr>
            <w:r>
              <w:rPr>
                <w:rFonts w:hint="eastAsia"/>
                <w:sz w:val="18"/>
                <w:szCs w:val="18"/>
              </w:rPr>
              <w:t>—</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1581" w:type="pct"/>
          </w:tcPr>
          <w:p>
            <w:pPr>
              <w:spacing w:line="360" w:lineRule="auto"/>
              <w:jc w:val="center"/>
              <w:rPr>
                <w:sz w:val="18"/>
                <w:szCs w:val="18"/>
              </w:rPr>
            </w:pPr>
            <w:r>
              <w:rPr>
                <w:sz w:val="18"/>
                <w:szCs w:val="18"/>
              </w:rPr>
              <w:t>TPSH2019-41</w:t>
            </w:r>
          </w:p>
        </w:tc>
        <w:tc>
          <w:tcPr>
            <w:tcW w:w="1101" w:type="pct"/>
          </w:tcPr>
          <w:p>
            <w:pPr>
              <w:jc w:val="center"/>
            </w:pPr>
            <w:r>
              <w:rPr>
                <w:rFonts w:hint="eastAsia"/>
                <w:sz w:val="18"/>
                <w:szCs w:val="18"/>
              </w:rPr>
              <w:t>—</w:t>
            </w:r>
          </w:p>
        </w:tc>
        <w:tc>
          <w:tcPr>
            <w:tcW w:w="1217" w:type="pct"/>
          </w:tcPr>
          <w:p>
            <w:pPr>
              <w:jc w:val="center"/>
            </w:pPr>
            <w:r>
              <w:rPr>
                <w:rFonts w:hint="eastAsia"/>
              </w:rPr>
              <w:t>—</w:t>
            </w:r>
          </w:p>
        </w:tc>
        <w:tc>
          <w:tcPr>
            <w:tcW w:w="1101" w:type="pct"/>
          </w:tcPr>
          <w:p>
            <w:pPr>
              <w:jc w:val="center"/>
            </w:pPr>
            <w:r>
              <w:rPr>
                <w:rFonts w:hint="eastAsia"/>
                <w:sz w:val="18"/>
                <w:szCs w:val="18"/>
              </w:rPr>
              <w:t>—</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1581" w:type="pct"/>
          </w:tcPr>
          <w:p>
            <w:pPr>
              <w:spacing w:line="360" w:lineRule="auto"/>
              <w:jc w:val="center"/>
              <w:rPr>
                <w:sz w:val="18"/>
                <w:szCs w:val="18"/>
              </w:rPr>
            </w:pPr>
            <w:r>
              <w:rPr>
                <w:sz w:val="18"/>
                <w:szCs w:val="18"/>
              </w:rPr>
              <w:t>TPSH2019-42</w:t>
            </w:r>
          </w:p>
        </w:tc>
        <w:tc>
          <w:tcPr>
            <w:tcW w:w="1101" w:type="pct"/>
          </w:tcPr>
          <w:p>
            <w:pPr>
              <w:jc w:val="center"/>
            </w:pPr>
            <w:r>
              <w:rPr>
                <w:rFonts w:hint="eastAsia"/>
                <w:sz w:val="18"/>
                <w:szCs w:val="18"/>
              </w:rPr>
              <w:t>—</w:t>
            </w:r>
          </w:p>
        </w:tc>
        <w:tc>
          <w:tcPr>
            <w:tcW w:w="1217" w:type="pct"/>
          </w:tcPr>
          <w:p>
            <w:pPr>
              <w:jc w:val="center"/>
            </w:pPr>
            <w:r>
              <w:rPr>
                <w:rFonts w:hint="eastAsia"/>
              </w:rPr>
              <w:t>—</w:t>
            </w:r>
          </w:p>
        </w:tc>
        <w:tc>
          <w:tcPr>
            <w:tcW w:w="1101" w:type="pct"/>
          </w:tcPr>
          <w:p>
            <w:pPr>
              <w:jc w:val="center"/>
            </w:pPr>
            <w:r>
              <w:rPr>
                <w:rFonts w:hint="eastAsia"/>
                <w:sz w:val="18"/>
                <w:szCs w:val="18"/>
              </w:rPr>
              <w:t>—</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1581" w:type="pct"/>
          </w:tcPr>
          <w:p>
            <w:pPr>
              <w:spacing w:line="360" w:lineRule="auto"/>
              <w:jc w:val="center"/>
              <w:rPr>
                <w:sz w:val="18"/>
                <w:szCs w:val="18"/>
              </w:rPr>
            </w:pPr>
            <w:r>
              <w:rPr>
                <w:sz w:val="18"/>
                <w:szCs w:val="18"/>
              </w:rPr>
              <w:t>TPSH2019-43</w:t>
            </w:r>
          </w:p>
        </w:tc>
        <w:tc>
          <w:tcPr>
            <w:tcW w:w="1101" w:type="pct"/>
          </w:tcPr>
          <w:p>
            <w:pPr>
              <w:jc w:val="center"/>
            </w:pPr>
            <w:r>
              <w:rPr>
                <w:rFonts w:hint="eastAsia"/>
                <w:sz w:val="18"/>
                <w:szCs w:val="18"/>
              </w:rPr>
              <w:t>—</w:t>
            </w:r>
          </w:p>
        </w:tc>
        <w:tc>
          <w:tcPr>
            <w:tcW w:w="1217" w:type="pct"/>
          </w:tcPr>
          <w:p>
            <w:pPr>
              <w:jc w:val="center"/>
            </w:pPr>
            <w:r>
              <w:rPr>
                <w:rFonts w:hint="eastAsia"/>
              </w:rPr>
              <w:t>—</w:t>
            </w:r>
          </w:p>
        </w:tc>
        <w:tc>
          <w:tcPr>
            <w:tcW w:w="1101" w:type="pct"/>
          </w:tcPr>
          <w:p>
            <w:pPr>
              <w:jc w:val="center"/>
            </w:pPr>
            <w:r>
              <w:rPr>
                <w:rFonts w:hint="eastAsia"/>
                <w:sz w:val="18"/>
                <w:szCs w:val="18"/>
              </w:rPr>
              <w:t>—</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1581" w:type="pct"/>
          </w:tcPr>
          <w:p>
            <w:pPr>
              <w:spacing w:line="360" w:lineRule="auto"/>
              <w:jc w:val="center"/>
              <w:rPr>
                <w:sz w:val="18"/>
                <w:szCs w:val="18"/>
              </w:rPr>
            </w:pPr>
            <w:r>
              <w:rPr>
                <w:sz w:val="18"/>
                <w:szCs w:val="18"/>
              </w:rPr>
              <w:t>TPSH2019-44</w:t>
            </w:r>
          </w:p>
        </w:tc>
        <w:tc>
          <w:tcPr>
            <w:tcW w:w="1101" w:type="pct"/>
          </w:tcPr>
          <w:p>
            <w:pPr>
              <w:jc w:val="center"/>
            </w:pPr>
            <w:r>
              <w:rPr>
                <w:rFonts w:hint="eastAsia"/>
                <w:sz w:val="18"/>
                <w:szCs w:val="18"/>
              </w:rPr>
              <w:t>—</w:t>
            </w:r>
          </w:p>
        </w:tc>
        <w:tc>
          <w:tcPr>
            <w:tcW w:w="1217" w:type="pct"/>
          </w:tcPr>
          <w:p>
            <w:pPr>
              <w:jc w:val="center"/>
            </w:pPr>
            <w:r>
              <w:rPr>
                <w:rFonts w:hint="eastAsia"/>
              </w:rPr>
              <w:t>—</w:t>
            </w:r>
          </w:p>
        </w:tc>
        <w:tc>
          <w:tcPr>
            <w:tcW w:w="1101" w:type="pct"/>
          </w:tcPr>
          <w:p>
            <w:pPr>
              <w:jc w:val="center"/>
            </w:pPr>
            <w:r>
              <w:rPr>
                <w:rFonts w:hint="eastAsia"/>
                <w:sz w:val="18"/>
                <w:szCs w:val="18"/>
              </w:rPr>
              <w:t>—</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1581" w:type="pct"/>
          </w:tcPr>
          <w:p>
            <w:pPr>
              <w:spacing w:line="360" w:lineRule="auto"/>
              <w:jc w:val="center"/>
              <w:rPr>
                <w:sz w:val="18"/>
                <w:szCs w:val="18"/>
              </w:rPr>
            </w:pPr>
            <w:r>
              <w:rPr>
                <w:sz w:val="18"/>
                <w:szCs w:val="18"/>
              </w:rPr>
              <w:t>TPSH2019-45</w:t>
            </w:r>
          </w:p>
        </w:tc>
        <w:tc>
          <w:tcPr>
            <w:tcW w:w="1101" w:type="pct"/>
          </w:tcPr>
          <w:p>
            <w:pPr>
              <w:jc w:val="center"/>
            </w:pPr>
            <w:r>
              <w:rPr>
                <w:rFonts w:hint="eastAsia"/>
                <w:sz w:val="18"/>
                <w:szCs w:val="18"/>
              </w:rPr>
              <w:t>—</w:t>
            </w:r>
          </w:p>
        </w:tc>
        <w:tc>
          <w:tcPr>
            <w:tcW w:w="1217" w:type="pct"/>
            <w:vAlign w:val="center"/>
          </w:tcPr>
          <w:p>
            <w:pPr>
              <w:spacing w:line="360" w:lineRule="auto"/>
              <w:jc w:val="center"/>
              <w:rPr>
                <w:sz w:val="18"/>
                <w:szCs w:val="18"/>
              </w:rPr>
            </w:pPr>
            <w:r>
              <w:rPr>
                <w:rFonts w:hint="eastAsia"/>
                <w:sz w:val="18"/>
                <w:szCs w:val="18"/>
              </w:rPr>
              <w:t>0.</w:t>
            </w:r>
            <w:r>
              <w:rPr>
                <w:sz w:val="18"/>
                <w:szCs w:val="18"/>
              </w:rPr>
              <w:t>059</w:t>
            </w:r>
          </w:p>
        </w:tc>
        <w:tc>
          <w:tcPr>
            <w:tcW w:w="1101" w:type="pct"/>
          </w:tcPr>
          <w:p>
            <w:pPr>
              <w:jc w:val="center"/>
            </w:pPr>
            <w:r>
              <w:rPr>
                <w:rFonts w:hint="eastAsia"/>
                <w:sz w:val="18"/>
                <w:szCs w:val="18"/>
              </w:rPr>
              <w:t>—</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1581" w:type="pct"/>
          </w:tcPr>
          <w:p>
            <w:pPr>
              <w:spacing w:line="360" w:lineRule="auto"/>
              <w:jc w:val="center"/>
              <w:rPr>
                <w:sz w:val="18"/>
                <w:szCs w:val="18"/>
              </w:rPr>
            </w:pPr>
            <w:r>
              <w:rPr>
                <w:sz w:val="18"/>
                <w:szCs w:val="18"/>
              </w:rPr>
              <w:t>TPSH2019-46</w:t>
            </w:r>
          </w:p>
        </w:tc>
        <w:tc>
          <w:tcPr>
            <w:tcW w:w="1101" w:type="pct"/>
          </w:tcPr>
          <w:p>
            <w:pPr>
              <w:jc w:val="center"/>
            </w:pPr>
            <w:r>
              <w:rPr>
                <w:rFonts w:hint="eastAsia"/>
                <w:sz w:val="18"/>
                <w:szCs w:val="18"/>
              </w:rPr>
              <w:t>—</w:t>
            </w:r>
          </w:p>
        </w:tc>
        <w:tc>
          <w:tcPr>
            <w:tcW w:w="1217" w:type="pct"/>
          </w:tcPr>
          <w:p>
            <w:pPr>
              <w:jc w:val="center"/>
            </w:pPr>
            <w:r>
              <w:rPr>
                <w:rFonts w:hint="eastAsia"/>
              </w:rPr>
              <w:t>—</w:t>
            </w:r>
          </w:p>
        </w:tc>
        <w:tc>
          <w:tcPr>
            <w:tcW w:w="1101" w:type="pct"/>
          </w:tcPr>
          <w:p>
            <w:pPr>
              <w:jc w:val="center"/>
            </w:pPr>
            <w:r>
              <w:rPr>
                <w:rFonts w:hint="eastAsia"/>
                <w:sz w:val="18"/>
                <w:szCs w:val="18"/>
              </w:rPr>
              <w:t>—</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1581" w:type="pct"/>
          </w:tcPr>
          <w:p>
            <w:pPr>
              <w:spacing w:line="360" w:lineRule="auto"/>
              <w:jc w:val="center"/>
              <w:rPr>
                <w:sz w:val="18"/>
                <w:szCs w:val="18"/>
              </w:rPr>
            </w:pPr>
            <w:r>
              <w:rPr>
                <w:sz w:val="18"/>
                <w:szCs w:val="18"/>
              </w:rPr>
              <w:t>TPSH2019-47</w:t>
            </w:r>
          </w:p>
        </w:tc>
        <w:tc>
          <w:tcPr>
            <w:tcW w:w="1101" w:type="pct"/>
            <w:tcBorders>
              <w:bottom w:val="single" w:color="auto" w:sz="6" w:space="0"/>
            </w:tcBorders>
          </w:tcPr>
          <w:p>
            <w:pPr>
              <w:jc w:val="center"/>
            </w:pPr>
            <w:r>
              <w:rPr>
                <w:rFonts w:hint="eastAsia"/>
                <w:sz w:val="18"/>
                <w:szCs w:val="18"/>
              </w:rPr>
              <w:t>—</w:t>
            </w:r>
          </w:p>
        </w:tc>
        <w:tc>
          <w:tcPr>
            <w:tcW w:w="1217" w:type="pct"/>
            <w:tcBorders>
              <w:bottom w:val="single" w:color="auto" w:sz="6" w:space="0"/>
            </w:tcBorders>
          </w:tcPr>
          <w:p>
            <w:pPr>
              <w:jc w:val="center"/>
            </w:pPr>
            <w:r>
              <w:rPr>
                <w:rFonts w:hint="eastAsia"/>
              </w:rPr>
              <w:t>—</w:t>
            </w:r>
          </w:p>
        </w:tc>
        <w:tc>
          <w:tcPr>
            <w:tcW w:w="1101" w:type="pct"/>
            <w:tcBorders>
              <w:bottom w:val="single" w:color="auto" w:sz="6" w:space="0"/>
            </w:tcBorders>
          </w:tcPr>
          <w:p>
            <w:pPr>
              <w:jc w:val="center"/>
            </w:pPr>
            <w:r>
              <w:rPr>
                <w:rFonts w:hint="eastAsia"/>
                <w:sz w:val="18"/>
                <w:szCs w:val="18"/>
              </w:rPr>
              <w:t>—</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1581" w:type="pct"/>
            <w:vAlign w:val="center"/>
          </w:tcPr>
          <w:p>
            <w:pPr>
              <w:spacing w:line="360" w:lineRule="auto"/>
              <w:jc w:val="center"/>
              <w:rPr>
                <w:b/>
                <w:sz w:val="18"/>
                <w:szCs w:val="18"/>
              </w:rPr>
            </w:pPr>
            <w:r>
              <w:rPr>
                <w:rFonts w:hint="eastAsia"/>
                <w:b/>
                <w:sz w:val="18"/>
                <w:szCs w:val="18"/>
              </w:rPr>
              <w:t>平均值</w:t>
            </w:r>
          </w:p>
        </w:tc>
        <w:tc>
          <w:tcPr>
            <w:tcW w:w="1101" w:type="pct"/>
            <w:tcBorders>
              <w:top w:val="single" w:color="auto" w:sz="6" w:space="0"/>
              <w:left w:val="nil"/>
              <w:bottom w:val="single" w:color="auto" w:sz="6" w:space="0"/>
              <w:right w:val="single" w:color="auto" w:sz="6" w:space="0"/>
            </w:tcBorders>
            <w:shd w:val="clear" w:color="auto" w:fill="auto"/>
            <w:vAlign w:val="bottom"/>
          </w:tcPr>
          <w:p>
            <w:pPr>
              <w:spacing w:line="360" w:lineRule="auto"/>
              <w:jc w:val="center"/>
              <w:rPr>
                <w:b/>
                <w:sz w:val="18"/>
                <w:szCs w:val="18"/>
              </w:rPr>
            </w:pPr>
            <w:r>
              <w:rPr>
                <w:b/>
                <w:sz w:val="18"/>
                <w:szCs w:val="18"/>
              </w:rPr>
              <w:t>0.0013</w:t>
            </w:r>
            <w:r>
              <w:rPr>
                <w:rFonts w:hint="eastAsia"/>
                <w:b/>
                <w:sz w:val="18"/>
                <w:szCs w:val="18"/>
              </w:rPr>
              <w:t xml:space="preserve"> </w:t>
            </w:r>
          </w:p>
        </w:tc>
        <w:tc>
          <w:tcPr>
            <w:tcW w:w="1217" w:type="pct"/>
            <w:tcBorders>
              <w:top w:val="single" w:color="auto" w:sz="6" w:space="0"/>
              <w:left w:val="single" w:color="auto" w:sz="6" w:space="0"/>
              <w:bottom w:val="single" w:color="auto" w:sz="6" w:space="0"/>
              <w:right w:val="single" w:color="auto" w:sz="6" w:space="0"/>
            </w:tcBorders>
            <w:shd w:val="clear" w:color="auto" w:fill="auto"/>
            <w:vAlign w:val="bottom"/>
          </w:tcPr>
          <w:p>
            <w:pPr>
              <w:spacing w:line="360" w:lineRule="auto"/>
              <w:jc w:val="center"/>
              <w:rPr>
                <w:b/>
                <w:sz w:val="18"/>
                <w:szCs w:val="18"/>
              </w:rPr>
            </w:pPr>
            <w:r>
              <w:rPr>
                <w:rFonts w:hint="eastAsia"/>
                <w:b/>
                <w:sz w:val="18"/>
                <w:szCs w:val="18"/>
              </w:rPr>
              <w:t>0.</w:t>
            </w:r>
            <w:r>
              <w:rPr>
                <w:b/>
                <w:sz w:val="18"/>
                <w:szCs w:val="18"/>
              </w:rPr>
              <w:t>048</w:t>
            </w:r>
          </w:p>
        </w:tc>
        <w:tc>
          <w:tcPr>
            <w:tcW w:w="1101" w:type="pct"/>
            <w:tcBorders>
              <w:top w:val="single" w:color="auto" w:sz="6" w:space="0"/>
              <w:left w:val="single" w:color="auto" w:sz="6" w:space="0"/>
              <w:bottom w:val="single" w:color="auto" w:sz="6" w:space="0"/>
              <w:right w:val="single" w:color="auto" w:sz="6" w:space="0"/>
            </w:tcBorders>
            <w:shd w:val="clear" w:color="auto" w:fill="auto"/>
            <w:vAlign w:val="bottom"/>
          </w:tcPr>
          <w:p>
            <w:pPr>
              <w:spacing w:line="360" w:lineRule="auto"/>
              <w:jc w:val="center"/>
              <w:rPr>
                <w:b/>
                <w:sz w:val="18"/>
                <w:szCs w:val="18"/>
              </w:rPr>
            </w:pPr>
            <w:r>
              <w:rPr>
                <w:b/>
                <w:sz w:val="18"/>
                <w:szCs w:val="18"/>
              </w:rPr>
              <w:t>0.059</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1581" w:type="pct"/>
            <w:vAlign w:val="center"/>
          </w:tcPr>
          <w:p>
            <w:pPr>
              <w:spacing w:line="360" w:lineRule="auto"/>
              <w:jc w:val="center"/>
              <w:rPr>
                <w:b/>
                <w:sz w:val="18"/>
                <w:szCs w:val="18"/>
              </w:rPr>
            </w:pPr>
            <w:r>
              <w:rPr>
                <w:b/>
                <w:sz w:val="18"/>
                <w:szCs w:val="18"/>
              </w:rPr>
              <w:t>M</w:t>
            </w:r>
            <w:r>
              <w:rPr>
                <w:rFonts w:hint="eastAsia"/>
                <w:b/>
                <w:sz w:val="18"/>
                <w:szCs w:val="18"/>
              </w:rPr>
              <w:t>in</w:t>
            </w:r>
          </w:p>
        </w:tc>
        <w:tc>
          <w:tcPr>
            <w:tcW w:w="1101" w:type="pct"/>
            <w:tcBorders>
              <w:top w:val="single" w:color="auto" w:sz="6" w:space="0"/>
            </w:tcBorders>
            <w:vAlign w:val="center"/>
          </w:tcPr>
          <w:p>
            <w:pPr>
              <w:spacing w:line="360" w:lineRule="auto"/>
              <w:jc w:val="center"/>
              <w:rPr>
                <w:b/>
                <w:sz w:val="18"/>
                <w:szCs w:val="18"/>
              </w:rPr>
            </w:pPr>
            <w:r>
              <w:rPr>
                <w:rFonts w:hint="eastAsia"/>
                <w:b/>
                <w:sz w:val="18"/>
                <w:szCs w:val="18"/>
              </w:rPr>
              <w:t>—</w:t>
            </w:r>
          </w:p>
        </w:tc>
        <w:tc>
          <w:tcPr>
            <w:tcW w:w="1217" w:type="pct"/>
            <w:tcBorders>
              <w:top w:val="single" w:color="auto" w:sz="6" w:space="0"/>
            </w:tcBorders>
            <w:vAlign w:val="center"/>
          </w:tcPr>
          <w:p>
            <w:pPr>
              <w:spacing w:line="360" w:lineRule="auto"/>
              <w:jc w:val="center"/>
              <w:rPr>
                <w:b/>
                <w:sz w:val="18"/>
                <w:szCs w:val="18"/>
              </w:rPr>
            </w:pPr>
            <w:r>
              <w:rPr>
                <w:rFonts w:hint="eastAsia"/>
                <w:b/>
                <w:sz w:val="18"/>
                <w:szCs w:val="18"/>
              </w:rPr>
              <w:t>—</w:t>
            </w:r>
          </w:p>
        </w:tc>
        <w:tc>
          <w:tcPr>
            <w:tcW w:w="1101" w:type="pct"/>
            <w:tcBorders>
              <w:top w:val="single" w:color="auto" w:sz="6" w:space="0"/>
            </w:tcBorders>
            <w:vAlign w:val="center"/>
          </w:tcPr>
          <w:p>
            <w:pPr>
              <w:spacing w:line="360" w:lineRule="auto"/>
              <w:jc w:val="center"/>
              <w:rPr>
                <w:b/>
                <w:sz w:val="18"/>
                <w:szCs w:val="18"/>
              </w:rPr>
            </w:pPr>
            <w:r>
              <w:rPr>
                <w:b/>
                <w:sz w:val="18"/>
                <w:szCs w:val="18"/>
              </w:rPr>
              <w:t>0.021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1581" w:type="pct"/>
            <w:vAlign w:val="center"/>
          </w:tcPr>
          <w:p>
            <w:pPr>
              <w:spacing w:line="360" w:lineRule="auto"/>
              <w:jc w:val="center"/>
              <w:rPr>
                <w:b/>
                <w:sz w:val="18"/>
                <w:szCs w:val="18"/>
              </w:rPr>
            </w:pPr>
            <w:r>
              <w:rPr>
                <w:b/>
                <w:sz w:val="18"/>
                <w:szCs w:val="18"/>
              </w:rPr>
              <w:t>Max</w:t>
            </w:r>
          </w:p>
        </w:tc>
        <w:tc>
          <w:tcPr>
            <w:tcW w:w="1101" w:type="pct"/>
            <w:vAlign w:val="center"/>
          </w:tcPr>
          <w:p>
            <w:pPr>
              <w:spacing w:line="360" w:lineRule="auto"/>
              <w:jc w:val="center"/>
              <w:rPr>
                <w:b/>
                <w:sz w:val="18"/>
                <w:szCs w:val="18"/>
              </w:rPr>
            </w:pPr>
            <w:r>
              <w:rPr>
                <w:b/>
                <w:sz w:val="18"/>
                <w:szCs w:val="18"/>
              </w:rPr>
              <w:t>0.015</w:t>
            </w:r>
          </w:p>
        </w:tc>
        <w:tc>
          <w:tcPr>
            <w:tcW w:w="1217" w:type="pct"/>
            <w:vAlign w:val="center"/>
          </w:tcPr>
          <w:p>
            <w:pPr>
              <w:spacing w:line="360" w:lineRule="auto"/>
              <w:jc w:val="center"/>
              <w:rPr>
                <w:b/>
                <w:sz w:val="18"/>
                <w:szCs w:val="18"/>
              </w:rPr>
            </w:pPr>
            <w:r>
              <w:rPr>
                <w:b/>
                <w:sz w:val="18"/>
                <w:szCs w:val="18"/>
              </w:rPr>
              <w:t>0.255</w:t>
            </w:r>
          </w:p>
        </w:tc>
        <w:tc>
          <w:tcPr>
            <w:tcW w:w="1101" w:type="pct"/>
            <w:vAlign w:val="center"/>
          </w:tcPr>
          <w:p>
            <w:pPr>
              <w:spacing w:line="360" w:lineRule="auto"/>
              <w:jc w:val="center"/>
              <w:rPr>
                <w:b/>
                <w:sz w:val="18"/>
                <w:szCs w:val="18"/>
              </w:rPr>
            </w:pPr>
            <w:r>
              <w:rPr>
                <w:b/>
                <w:sz w:val="18"/>
                <w:szCs w:val="18"/>
              </w:rPr>
              <w:t>0.869</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1581" w:type="pct"/>
            <w:vAlign w:val="center"/>
          </w:tcPr>
          <w:p>
            <w:pPr>
              <w:adjustRightInd w:val="0"/>
              <w:snapToGrid w:val="0"/>
              <w:spacing w:line="360" w:lineRule="auto"/>
              <w:jc w:val="center"/>
              <w:rPr>
                <w:b/>
                <w:sz w:val="18"/>
                <w:szCs w:val="18"/>
              </w:rPr>
            </w:pPr>
            <w:r>
              <w:rPr>
                <w:rFonts w:hint="eastAsia"/>
                <w:b/>
                <w:sz w:val="18"/>
                <w:szCs w:val="18"/>
              </w:rPr>
              <w:t>检测方法</w:t>
            </w:r>
          </w:p>
        </w:tc>
        <w:tc>
          <w:tcPr>
            <w:tcW w:w="1101" w:type="pct"/>
            <w:vAlign w:val="center"/>
          </w:tcPr>
          <w:p>
            <w:pPr>
              <w:adjustRightInd w:val="0"/>
              <w:snapToGrid w:val="0"/>
              <w:spacing w:line="360" w:lineRule="auto"/>
              <w:jc w:val="center"/>
              <w:rPr>
                <w:sz w:val="18"/>
                <w:szCs w:val="18"/>
              </w:rPr>
            </w:pPr>
            <w:r>
              <w:rPr>
                <w:sz w:val="18"/>
                <w:szCs w:val="18"/>
              </w:rPr>
              <w:t>GB 23200.8</w:t>
            </w:r>
          </w:p>
        </w:tc>
        <w:tc>
          <w:tcPr>
            <w:tcW w:w="1217" w:type="pct"/>
            <w:vAlign w:val="center"/>
          </w:tcPr>
          <w:p>
            <w:pPr>
              <w:adjustRightInd w:val="0"/>
              <w:snapToGrid w:val="0"/>
              <w:spacing w:line="360" w:lineRule="auto"/>
              <w:jc w:val="center"/>
              <w:rPr>
                <w:sz w:val="18"/>
                <w:szCs w:val="18"/>
              </w:rPr>
            </w:pPr>
            <w:r>
              <w:rPr>
                <w:sz w:val="18"/>
                <w:szCs w:val="18"/>
              </w:rPr>
              <w:t>SN/T 2320</w:t>
            </w:r>
          </w:p>
        </w:tc>
        <w:tc>
          <w:tcPr>
            <w:tcW w:w="1101" w:type="pct"/>
            <w:vAlign w:val="center"/>
          </w:tcPr>
          <w:p>
            <w:pPr>
              <w:adjustRightInd w:val="0"/>
              <w:snapToGrid w:val="0"/>
              <w:spacing w:line="360" w:lineRule="auto"/>
              <w:jc w:val="center"/>
              <w:rPr>
                <w:sz w:val="18"/>
                <w:szCs w:val="18"/>
              </w:rPr>
            </w:pPr>
            <w:r>
              <w:rPr>
                <w:sz w:val="18"/>
                <w:szCs w:val="18"/>
              </w:rPr>
              <w:t>GB/T 23204</w:t>
            </w:r>
          </w:p>
        </w:tc>
      </w:tr>
    </w:tbl>
    <w:p>
      <w:pPr>
        <w:numPr>
          <w:ilvl w:val="255"/>
          <w:numId w:val="0"/>
        </w:numPr>
        <w:adjustRightInd w:val="0"/>
        <w:snapToGrid w:val="0"/>
        <w:spacing w:before="240" w:beforeLines="100" w:line="360" w:lineRule="auto"/>
        <w:rPr>
          <w:b/>
          <w:szCs w:val="21"/>
        </w:rPr>
      </w:pPr>
      <w:r>
        <w:rPr>
          <w:rFonts w:hint="eastAsia"/>
          <w:szCs w:val="21"/>
        </w:rPr>
        <w:t>6</w:t>
      </w:r>
      <w:r>
        <w:rPr>
          <w:szCs w:val="21"/>
        </w:rPr>
        <w:t>.</w:t>
      </w:r>
      <w:r>
        <w:rPr>
          <w:rFonts w:hint="eastAsia"/>
          <w:b/>
          <w:szCs w:val="21"/>
        </w:rPr>
        <w:t xml:space="preserve"> 真菌毒素污染限量</w:t>
      </w:r>
    </w:p>
    <w:p>
      <w:pPr>
        <w:numPr>
          <w:ilvl w:val="255"/>
          <w:numId w:val="0"/>
        </w:numPr>
        <w:adjustRightInd w:val="0"/>
        <w:snapToGrid w:val="0"/>
        <w:spacing w:line="360" w:lineRule="auto"/>
        <w:ind w:firstLine="424" w:firstLineChars="202"/>
        <w:rPr>
          <w:b/>
          <w:szCs w:val="21"/>
        </w:rPr>
      </w:pPr>
      <w:r>
        <w:rPr>
          <w:rFonts w:hint="eastAsia"/>
          <w:szCs w:val="21"/>
        </w:rPr>
        <w:t>在本标准研究中，筛选了10种叶类易污染的真菌毒素：即黄曲霉毒素B1（A</w:t>
      </w:r>
      <w:r>
        <w:rPr>
          <w:szCs w:val="21"/>
        </w:rPr>
        <w:t>FT B1</w:t>
      </w:r>
      <w:r>
        <w:rPr>
          <w:rFonts w:hint="eastAsia"/>
          <w:szCs w:val="21"/>
        </w:rPr>
        <w:t>）、黄曲霉毒素B2（A</w:t>
      </w:r>
      <w:r>
        <w:rPr>
          <w:szCs w:val="21"/>
        </w:rPr>
        <w:t>FT B2</w:t>
      </w:r>
      <w:r>
        <w:rPr>
          <w:rFonts w:hint="eastAsia"/>
          <w:szCs w:val="21"/>
        </w:rPr>
        <w:t>）、黄曲霉毒素G1（A</w:t>
      </w:r>
      <w:r>
        <w:rPr>
          <w:szCs w:val="21"/>
        </w:rPr>
        <w:t>FT G1</w:t>
      </w:r>
      <w:r>
        <w:rPr>
          <w:rFonts w:hint="eastAsia"/>
          <w:szCs w:val="21"/>
        </w:rPr>
        <w:t>）、黄曲霉毒素G2（A</w:t>
      </w:r>
      <w:r>
        <w:rPr>
          <w:szCs w:val="21"/>
        </w:rPr>
        <w:t>FT G2</w:t>
      </w:r>
      <w:r>
        <w:rPr>
          <w:rFonts w:hint="eastAsia"/>
          <w:szCs w:val="21"/>
        </w:rPr>
        <w:t>）、赭曲霉毒素A（O</w:t>
      </w:r>
      <w:r>
        <w:rPr>
          <w:szCs w:val="21"/>
        </w:rPr>
        <w:t>TA</w:t>
      </w:r>
      <w:r>
        <w:rPr>
          <w:rFonts w:hint="eastAsia"/>
          <w:szCs w:val="21"/>
        </w:rPr>
        <w:t>）、</w:t>
      </w:r>
    </w:p>
    <w:p>
      <w:pPr>
        <w:numPr>
          <w:ilvl w:val="255"/>
          <w:numId w:val="0"/>
        </w:numPr>
        <w:adjustRightInd w:val="0"/>
        <w:snapToGrid w:val="0"/>
        <w:spacing w:line="360" w:lineRule="auto"/>
        <w:rPr>
          <w:szCs w:val="21"/>
        </w:rPr>
      </w:pPr>
      <w:r>
        <w:drawing>
          <wp:anchor distT="0" distB="0" distL="114300" distR="114300" simplePos="0" relativeHeight="251667456" behindDoc="0" locked="0" layoutInCell="1" allowOverlap="1">
            <wp:simplePos x="0" y="0"/>
            <wp:positionH relativeFrom="page">
              <wp:posOffset>2007870</wp:posOffset>
            </wp:positionH>
            <wp:positionV relativeFrom="paragraph">
              <wp:posOffset>11430</wp:posOffset>
            </wp:positionV>
            <wp:extent cx="3290570" cy="4838700"/>
            <wp:effectExtent l="6985" t="0" r="0" b="0"/>
            <wp:wrapTopAndBottom/>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8" cstate="print">
                      <a:extLst>
                        <a:ext uri="{28A0092B-C50C-407E-A947-70E740481C1C}">
                          <a14:useLocalDpi xmlns:a14="http://schemas.microsoft.com/office/drawing/2010/main" val="0"/>
                        </a:ext>
                      </a:extLst>
                    </a:blip>
                    <a:srcRect l="14433" t="9253" r="4437" b="6218"/>
                    <a:stretch>
                      <a:fillRect/>
                    </a:stretch>
                  </pic:blipFill>
                  <pic:spPr>
                    <a:xfrm rot="16200000">
                      <a:off x="0" y="0"/>
                      <a:ext cx="3290570" cy="4838700"/>
                    </a:xfrm>
                    <a:prstGeom prst="rect">
                      <a:avLst/>
                    </a:prstGeom>
                    <a:ln>
                      <a:noFill/>
                    </a:ln>
                  </pic:spPr>
                </pic:pic>
              </a:graphicData>
            </a:graphic>
          </wp:anchor>
        </w:drawing>
      </w:r>
      <w:r>
        <w:rPr>
          <w:rFonts w:hint="eastAsia"/>
          <w:szCs w:val="21"/>
        </w:rPr>
        <w:t>T-2毒素（</w:t>
      </w:r>
      <w:r>
        <w:rPr>
          <w:szCs w:val="21"/>
        </w:rPr>
        <w:t>T-2</w:t>
      </w:r>
      <w:r>
        <w:rPr>
          <w:rFonts w:hint="eastAsia"/>
          <w:szCs w:val="21"/>
        </w:rPr>
        <w:t>）、杂色曲霉素（S</w:t>
      </w:r>
      <w:r>
        <w:rPr>
          <w:szCs w:val="21"/>
        </w:rPr>
        <w:t>T</w:t>
      </w:r>
      <w:r>
        <w:rPr>
          <w:rFonts w:hint="eastAsia"/>
          <w:szCs w:val="21"/>
        </w:rPr>
        <w:t>）、伏马菌素B1（</w:t>
      </w:r>
      <w:r>
        <w:rPr>
          <w:szCs w:val="21"/>
        </w:rPr>
        <w:t>FB1</w:t>
      </w:r>
      <w:r>
        <w:rPr>
          <w:rFonts w:hint="eastAsia"/>
          <w:szCs w:val="21"/>
        </w:rPr>
        <w:t>）、伏马菌素B2（</w:t>
      </w:r>
      <w:r>
        <w:rPr>
          <w:szCs w:val="21"/>
        </w:rPr>
        <w:t>FB2</w:t>
      </w:r>
      <w:r>
        <w:rPr>
          <w:rFonts w:hint="eastAsia"/>
          <w:szCs w:val="21"/>
        </w:rPr>
        <w:t>）和伏马菌素B3（</w:t>
      </w:r>
      <w:r>
        <w:rPr>
          <w:szCs w:val="21"/>
        </w:rPr>
        <w:t>FB3</w:t>
      </w:r>
      <w:r>
        <w:rPr>
          <w:rFonts w:hint="eastAsia"/>
          <w:szCs w:val="21"/>
        </w:rPr>
        <w:t>）进行筛查。检测结果表明（图</w:t>
      </w:r>
      <w:r>
        <w:rPr>
          <w:szCs w:val="21"/>
        </w:rPr>
        <w:t>4</w:t>
      </w:r>
      <w:r>
        <w:rPr>
          <w:rFonts w:hint="eastAsia"/>
          <w:szCs w:val="21"/>
        </w:rPr>
        <w:t>），此1</w:t>
      </w:r>
      <w:r>
        <w:rPr>
          <w:szCs w:val="21"/>
        </w:rPr>
        <w:t>0</w:t>
      </w:r>
      <w:r>
        <w:rPr>
          <w:rFonts w:hint="eastAsia"/>
          <w:szCs w:val="21"/>
        </w:rPr>
        <w:t>种叶类易污染真菌毒素均未超出国家标准规定的限量值。因此，考虑本标准的实用性，真菌毒素污染不作为铁皮石斛叶食用安全控制指标。</w:t>
      </w:r>
    </w:p>
    <w:p>
      <w:pPr>
        <w:numPr>
          <w:ilvl w:val="255"/>
          <w:numId w:val="0"/>
        </w:numPr>
        <w:adjustRightInd w:val="0"/>
        <w:snapToGrid w:val="0"/>
        <w:spacing w:line="360" w:lineRule="auto"/>
        <w:ind w:firstLine="424" w:firstLineChars="202"/>
        <w:jc w:val="center"/>
        <w:rPr>
          <w:szCs w:val="21"/>
        </w:rPr>
      </w:pPr>
      <w:r>
        <w:rPr>
          <w:szCs w:val="21"/>
        </w:rPr>
        <w:t xml:space="preserve">    </w:t>
      </w:r>
      <w:r>
        <w:rPr>
          <w:rFonts w:hint="eastAsia"/>
          <w:b/>
          <w:szCs w:val="21"/>
        </w:rPr>
        <w:t>图</w:t>
      </w:r>
      <w:r>
        <w:rPr>
          <w:b/>
          <w:szCs w:val="21"/>
        </w:rPr>
        <w:t>4 21</w:t>
      </w:r>
      <w:r>
        <w:rPr>
          <w:rFonts w:hint="eastAsia"/>
          <w:b/>
          <w:szCs w:val="21"/>
        </w:rPr>
        <w:t>批铁皮石斛叶样品真菌毒素筛查结果</w:t>
      </w:r>
    </w:p>
    <w:p>
      <w:pPr>
        <w:numPr>
          <w:ilvl w:val="255"/>
          <w:numId w:val="0"/>
        </w:numPr>
        <w:adjustRightInd w:val="0"/>
        <w:snapToGrid w:val="0"/>
        <w:spacing w:line="360" w:lineRule="auto"/>
        <w:rPr>
          <w:b/>
          <w:szCs w:val="21"/>
        </w:rPr>
      </w:pPr>
      <w:r>
        <w:rPr>
          <w:b/>
          <w:szCs w:val="21"/>
        </w:rPr>
        <w:t xml:space="preserve">7. </w:t>
      </w:r>
      <w:r>
        <w:rPr>
          <w:rFonts w:hint="eastAsia"/>
          <w:b/>
          <w:szCs w:val="21"/>
        </w:rPr>
        <w:t>食品添加剂</w:t>
      </w:r>
    </w:p>
    <w:p>
      <w:pPr>
        <w:pStyle w:val="14"/>
        <w:adjustRightInd w:val="0"/>
        <w:snapToGrid w:val="0"/>
        <w:ind w:firstLine="420"/>
        <w:rPr>
          <w:rFonts w:ascii="Times New Roman" w:hAnsi="Times New Roman" w:cs="Times New Roman"/>
          <w:sz w:val="21"/>
          <w:szCs w:val="21"/>
        </w:rPr>
      </w:pPr>
      <w:r>
        <w:rPr>
          <w:rFonts w:hint="eastAsia" w:ascii="Times New Roman" w:hAnsi="Times New Roman" w:cs="Times New Roman"/>
          <w:sz w:val="21"/>
          <w:szCs w:val="21"/>
        </w:rPr>
        <w:t>铁皮石斛叶生产加工过程中添加剂的使用应满足《食品安全国家标准</w:t>
      </w:r>
      <w:r>
        <w:rPr>
          <w:rFonts w:ascii="Times New Roman" w:hAnsi="Times New Roman" w:cs="Times New Roman"/>
          <w:sz w:val="21"/>
          <w:szCs w:val="21"/>
        </w:rPr>
        <w:t xml:space="preserve"> </w:t>
      </w:r>
      <w:r>
        <w:rPr>
          <w:rFonts w:hint="eastAsia" w:ascii="Times New Roman" w:hAnsi="Times New Roman" w:cs="Times New Roman"/>
          <w:sz w:val="21"/>
          <w:szCs w:val="21"/>
        </w:rPr>
        <w:t>食品添加剂使用标准》</w:t>
      </w:r>
      <w:r>
        <w:rPr>
          <w:rFonts w:ascii="Times New Roman" w:hAnsi="Times New Roman" w:cs="Times New Roman"/>
          <w:sz w:val="21"/>
          <w:szCs w:val="21"/>
        </w:rPr>
        <w:t>（GB 2760-2014）</w:t>
      </w:r>
      <w:r>
        <w:rPr>
          <w:rFonts w:hint="eastAsia" w:ascii="Times New Roman" w:hAnsi="Times New Roman" w:cs="Times New Roman"/>
          <w:sz w:val="21"/>
          <w:szCs w:val="21"/>
        </w:rPr>
        <w:t>的要求，目前</w:t>
      </w:r>
      <w:r>
        <w:rPr>
          <w:rFonts w:ascii="Times New Roman" w:hAnsi="Times New Roman" w:cs="Times New Roman"/>
          <w:sz w:val="21"/>
          <w:szCs w:val="21"/>
        </w:rPr>
        <w:t>GB 2760-2014</w:t>
      </w:r>
      <w:r>
        <w:rPr>
          <w:rFonts w:hint="eastAsia" w:ascii="Times New Roman" w:hAnsi="Times New Roman" w:cs="Times New Roman"/>
          <w:sz w:val="21"/>
          <w:szCs w:val="21"/>
        </w:rPr>
        <w:t>中的食品分类中无铁皮石斛叶，故根据</w:t>
      </w:r>
      <w:r>
        <w:rPr>
          <w:rFonts w:ascii="Times New Roman" w:hAnsi="Times New Roman" w:cs="Times New Roman"/>
          <w:sz w:val="21"/>
          <w:szCs w:val="21"/>
        </w:rPr>
        <w:t>GB 2760</w:t>
      </w:r>
      <w:r>
        <w:rPr>
          <w:rFonts w:hint="eastAsia" w:ascii="Times New Roman" w:hAnsi="Times New Roman" w:cs="Times New Roman"/>
          <w:sz w:val="21"/>
          <w:szCs w:val="21"/>
        </w:rPr>
        <w:t>的要求铁皮石斛叶不能使用任何食品添加剂。在本标准中规定：食品添加剂的使用应符合</w:t>
      </w:r>
      <w:r>
        <w:rPr>
          <w:rFonts w:ascii="Times New Roman" w:hAnsi="Times New Roman" w:cs="Times New Roman"/>
          <w:sz w:val="21"/>
          <w:szCs w:val="21"/>
        </w:rPr>
        <w:t>GB 2760</w:t>
      </w:r>
      <w:r>
        <w:rPr>
          <w:rFonts w:hint="eastAsia" w:ascii="Times New Roman" w:hAnsi="Times New Roman" w:cs="Times New Roman"/>
          <w:sz w:val="21"/>
          <w:szCs w:val="21"/>
        </w:rPr>
        <w:t>的规定。</w:t>
      </w:r>
    </w:p>
    <w:p>
      <w:pPr>
        <w:adjustRightInd w:val="0"/>
        <w:snapToGrid w:val="0"/>
        <w:spacing w:line="360" w:lineRule="auto"/>
        <w:ind w:left="420"/>
        <w:rPr>
          <w:rFonts w:ascii="楷体" w:hAnsi="楷体" w:eastAsia="楷体"/>
          <w:b/>
          <w:sz w:val="24"/>
        </w:rPr>
      </w:pPr>
      <w:r>
        <w:rPr>
          <w:rFonts w:hint="eastAsia" w:ascii="楷体" w:hAnsi="楷体" w:eastAsia="楷体"/>
          <w:b/>
          <w:sz w:val="24"/>
        </w:rPr>
        <w:t>（五）</w:t>
      </w:r>
      <w:r>
        <w:rPr>
          <w:rFonts w:hint="eastAsia"/>
          <w:b/>
          <w:sz w:val="24"/>
        </w:rPr>
        <w:t>日推荐摄入量</w:t>
      </w:r>
    </w:p>
    <w:p>
      <w:pPr>
        <w:pStyle w:val="11"/>
        <w:tabs>
          <w:tab w:val="center" w:pos="4201"/>
          <w:tab w:val="right" w:leader="dot" w:pos="9298"/>
        </w:tabs>
        <w:adjustRightInd w:val="0"/>
        <w:snapToGrid w:val="0"/>
        <w:spacing w:line="360" w:lineRule="auto"/>
        <w:ind w:firstLine="420"/>
        <w:rPr>
          <w:rFonts w:ascii="Times New Roman" w:hAnsi="Times New Roman"/>
          <w:sz w:val="21"/>
          <w:szCs w:val="21"/>
        </w:rPr>
      </w:pPr>
      <w:bookmarkStart w:id="1" w:name="_Hlk6600970"/>
      <w:r>
        <w:rPr>
          <w:rFonts w:hint="eastAsia" w:ascii="Times New Roman" w:hAnsi="Times New Roman"/>
          <w:sz w:val="21"/>
          <w:szCs w:val="21"/>
        </w:rPr>
        <w:t>由铁皮石斛叶民间使用情况，推荐铁皮石斛用法用量：（1）制成袋泡茶，制成食品饮料、食材等；（2）使用量：袋泡茶1-2g/袋，制成饮料1-6g/kg，食材5-8g/kg。</w:t>
      </w:r>
    </w:p>
    <w:p>
      <w:pPr>
        <w:pStyle w:val="11"/>
        <w:tabs>
          <w:tab w:val="center" w:pos="4201"/>
          <w:tab w:val="right" w:leader="dot" w:pos="9298"/>
        </w:tabs>
        <w:adjustRightInd w:val="0"/>
        <w:snapToGrid w:val="0"/>
        <w:spacing w:line="360" w:lineRule="auto"/>
        <w:ind w:firstLine="420"/>
        <w:rPr>
          <w:rFonts w:ascii="Times New Roman" w:hAnsi="Times New Roman"/>
          <w:sz w:val="21"/>
          <w:szCs w:val="21"/>
        </w:rPr>
      </w:pPr>
      <w:r>
        <w:rPr>
          <w:rFonts w:hint="eastAsia" w:ascii="Times New Roman" w:hAnsi="Times New Roman"/>
          <w:sz w:val="21"/>
          <w:szCs w:val="21"/>
        </w:rPr>
        <w:t>具体依据如下：</w:t>
      </w:r>
    </w:p>
    <w:p>
      <w:pPr>
        <w:pStyle w:val="11"/>
        <w:tabs>
          <w:tab w:val="center" w:pos="4201"/>
          <w:tab w:val="right" w:leader="dot" w:pos="9298"/>
        </w:tabs>
        <w:adjustRightInd w:val="0"/>
        <w:snapToGrid w:val="0"/>
        <w:spacing w:line="360" w:lineRule="auto"/>
        <w:ind w:firstLine="420"/>
        <w:rPr>
          <w:rFonts w:ascii="Times New Roman" w:hAnsi="Times New Roman"/>
          <w:sz w:val="21"/>
          <w:szCs w:val="21"/>
        </w:rPr>
      </w:pPr>
      <w:r>
        <w:rPr>
          <w:rFonts w:hint="eastAsia" w:ascii="Times New Roman" w:hAnsi="Times New Roman"/>
          <w:sz w:val="21"/>
          <w:szCs w:val="21"/>
        </w:rPr>
        <w:t>1．民间习惯食用方法、食用量</w:t>
      </w:r>
    </w:p>
    <w:p>
      <w:pPr>
        <w:pStyle w:val="11"/>
        <w:tabs>
          <w:tab w:val="center" w:pos="4201"/>
          <w:tab w:val="right" w:leader="dot" w:pos="9298"/>
        </w:tabs>
        <w:adjustRightInd w:val="0"/>
        <w:snapToGrid w:val="0"/>
        <w:spacing w:line="360" w:lineRule="auto"/>
        <w:ind w:firstLine="420"/>
        <w:rPr>
          <w:rFonts w:ascii="Times New Roman" w:hAnsi="Times New Roman"/>
          <w:sz w:val="21"/>
          <w:szCs w:val="21"/>
        </w:rPr>
      </w:pPr>
      <w:r>
        <w:rPr>
          <w:rFonts w:hint="eastAsia" w:ascii="Times New Roman" w:hAnsi="Times New Roman"/>
          <w:sz w:val="21"/>
          <w:szCs w:val="21"/>
        </w:rPr>
        <w:t>由上述可知，民间习惯将铁皮石斛叶当作茶叶泡水饮用、榨汁、炒蛋、煲汤等方式食用，有降火、解渴、养生保健之效，宜于健康或亚健康人群养生保健；日食剂量范围1-6g。</w:t>
      </w:r>
    </w:p>
    <w:p>
      <w:pPr>
        <w:pStyle w:val="11"/>
        <w:tabs>
          <w:tab w:val="center" w:pos="4201"/>
          <w:tab w:val="right" w:leader="dot" w:pos="9298"/>
        </w:tabs>
        <w:adjustRightInd w:val="0"/>
        <w:snapToGrid w:val="0"/>
        <w:spacing w:line="360" w:lineRule="auto"/>
        <w:ind w:firstLine="420"/>
        <w:rPr>
          <w:rFonts w:ascii="Times New Roman" w:hAnsi="Times New Roman"/>
          <w:sz w:val="21"/>
          <w:szCs w:val="21"/>
        </w:rPr>
      </w:pPr>
      <w:r>
        <w:rPr>
          <w:rFonts w:hint="eastAsia" w:ascii="Times New Roman" w:hAnsi="Times New Roman"/>
          <w:sz w:val="21"/>
          <w:szCs w:val="21"/>
        </w:rPr>
        <w:t>2．毒理学试验研究依据</w:t>
      </w:r>
      <w:r>
        <w:rPr>
          <w:rFonts w:hint="eastAsia" w:ascii="Times New Roman" w:hAnsi="Times New Roman"/>
          <w:b/>
          <w:sz w:val="21"/>
          <w:szCs w:val="21"/>
        </w:rPr>
        <w:t>（附件一）</w:t>
      </w:r>
    </w:p>
    <w:p>
      <w:pPr>
        <w:pStyle w:val="11"/>
        <w:tabs>
          <w:tab w:val="center" w:pos="4201"/>
          <w:tab w:val="right" w:leader="dot" w:pos="9298"/>
        </w:tabs>
        <w:adjustRightInd w:val="0"/>
        <w:snapToGrid w:val="0"/>
        <w:spacing w:line="360" w:lineRule="auto"/>
        <w:ind w:firstLine="424" w:firstLineChars="202"/>
        <w:rPr>
          <w:rFonts w:ascii="Times New Roman" w:hAnsi="Times New Roman"/>
          <w:sz w:val="21"/>
          <w:szCs w:val="21"/>
        </w:rPr>
      </w:pPr>
      <w:r>
        <w:rPr>
          <w:rFonts w:hint="eastAsia" w:ascii="Times New Roman" w:hAnsi="Times New Roman"/>
          <w:sz w:val="21"/>
          <w:szCs w:val="21"/>
        </w:rPr>
        <w:t>根据食品安全国家标准急性经口毒性试验 GB 15193.3-2014检测依据，通过铁皮石斛叶急性经口毒性试验证明，铁皮石斛叶10g/kg.bw 剂量经口染毒后，两周内未见动物死亡，亦无明显的中毒症状或不良反应。即本检品对雌、雄性SD大鼠的急性经口LD50大于10g/kg.bw，判属实际无毒级别。表明本品大鼠的最大耐受剂量均大于10g/kg.bw，该剂量相当于民间习惯食用量[1-6g/d]的100倍。</w:t>
      </w:r>
    </w:p>
    <w:p>
      <w:pPr>
        <w:pStyle w:val="11"/>
        <w:tabs>
          <w:tab w:val="center" w:pos="4201"/>
          <w:tab w:val="right" w:leader="dot" w:pos="9298"/>
        </w:tabs>
        <w:adjustRightInd w:val="0"/>
        <w:snapToGrid w:val="0"/>
        <w:spacing w:line="360" w:lineRule="auto"/>
        <w:ind w:firstLine="420"/>
        <w:rPr>
          <w:rFonts w:ascii="Times New Roman" w:hAnsi="Times New Roman"/>
          <w:sz w:val="21"/>
          <w:szCs w:val="21"/>
        </w:rPr>
      </w:pPr>
      <w:r>
        <w:rPr>
          <w:rFonts w:hint="eastAsia" w:ascii="Times New Roman" w:hAnsi="Times New Roman"/>
          <w:sz w:val="21"/>
          <w:szCs w:val="21"/>
        </w:rPr>
        <w:t xml:space="preserve">通过大鼠90天经口毒性试验（食品安全国家标准经口毒性试验GB 15193.13-2015）结果显示，铁皮石斛叶（2.25、5.25、7.50g/kg.bw三个受试物剂量组）大鼠90天经口毒性试验未引起大鼠的整体健康状况、生理生化功能和器官组织形态学等各项重要指标的异常变化。铁皮石斛叶实际摄入的最大未观察到有害作用剂量雄鼠为8.37g/kg.bw，雌鼠为8.73g/kg.bw。表明，本品铁皮石斛叶对大鼠无明显慢性毒性。其慢性毒性剂量大于8.73g/kg.bw ，该剂量相当于上述民间用于健康和亚健康人群养生保健习惯食用剂量(1-6g/d)的87倍。 </w:t>
      </w:r>
    </w:p>
    <w:p>
      <w:pPr>
        <w:pStyle w:val="11"/>
        <w:tabs>
          <w:tab w:val="center" w:pos="4201"/>
          <w:tab w:val="right" w:leader="dot" w:pos="9298"/>
        </w:tabs>
        <w:adjustRightInd w:val="0"/>
        <w:snapToGrid w:val="0"/>
        <w:spacing w:line="360" w:lineRule="auto"/>
        <w:ind w:firstLine="420"/>
        <w:rPr>
          <w:rFonts w:ascii="Times New Roman" w:hAnsi="Times New Roman"/>
          <w:sz w:val="21"/>
          <w:szCs w:val="21"/>
        </w:rPr>
      </w:pPr>
      <w:r>
        <w:rPr>
          <w:rFonts w:hint="eastAsia" w:ascii="Times New Roman" w:hAnsi="Times New Roman"/>
          <w:sz w:val="21"/>
          <w:szCs w:val="21"/>
        </w:rPr>
        <w:t>通过遗传毒性试验（食品安全国家标准细菌回复突变试验GB 15193.4-2014；食品安全国家标准哺乳动物红细胞微核试验GB 15193.5-2014；食品安全国家标准体外哺乳类细胞染色体畸变试验GB 15193.23-2014）结果显示，细菌回复突变试验、哺乳动物红细胞微核试验和体外哺乳类细胞染色体畸变试验三项遗传毒性试验结果均为阴性。表明，本品无明显遗传毒性。</w:t>
      </w:r>
    </w:p>
    <w:p>
      <w:pPr>
        <w:pStyle w:val="11"/>
        <w:tabs>
          <w:tab w:val="center" w:pos="4201"/>
          <w:tab w:val="right" w:leader="dot" w:pos="9298"/>
        </w:tabs>
        <w:adjustRightInd w:val="0"/>
        <w:snapToGrid w:val="0"/>
        <w:spacing w:line="360" w:lineRule="auto"/>
        <w:ind w:firstLine="420"/>
        <w:rPr>
          <w:rFonts w:ascii="Times New Roman" w:hAnsi="Times New Roman"/>
          <w:sz w:val="21"/>
          <w:szCs w:val="21"/>
        </w:rPr>
      </w:pPr>
      <w:r>
        <w:rPr>
          <w:rFonts w:hint="eastAsia" w:ascii="Times New Roman" w:hAnsi="Times New Roman"/>
          <w:sz w:val="21"/>
          <w:szCs w:val="21"/>
        </w:rPr>
        <w:t xml:space="preserve">通过大鼠致畸试验（食品安全国家标准致畸试验GB 15193.14-2015）结果显示，受溶解度限制，最高剂量为3.75g/kg.bw，铁皮石斛叶对孕鼠一般情况良好，未见异常行为和中毒表现。试验结束时对所有处死妊娠动物进行大体检查，未发现明显病变。受试物各剂量组孕鼠的各周体重、体重增重、子宫连胎重、体重净增重与阴性对照组比较均无显著性差异。表明本品对母体无毒性作用，对胎鼠无致畸作用。该剂量相当于上述民间用于健康和亚健康人群养生保健习惯食用剂量(1-6g/d)的37.5倍。 </w:t>
      </w:r>
    </w:p>
    <w:p>
      <w:pPr>
        <w:pStyle w:val="11"/>
        <w:tabs>
          <w:tab w:val="center" w:pos="4201"/>
          <w:tab w:val="right" w:leader="dot" w:pos="9298"/>
        </w:tabs>
        <w:adjustRightInd w:val="0"/>
        <w:snapToGrid w:val="0"/>
        <w:spacing w:line="360" w:lineRule="auto"/>
        <w:ind w:firstLine="420"/>
        <w:rPr>
          <w:rFonts w:ascii="Times New Roman" w:hAnsi="Times New Roman"/>
          <w:sz w:val="21"/>
          <w:szCs w:val="21"/>
        </w:rPr>
      </w:pPr>
      <w:r>
        <w:rPr>
          <w:rFonts w:hint="eastAsia" w:ascii="Times New Roman" w:hAnsi="Times New Roman"/>
          <w:sz w:val="21"/>
          <w:szCs w:val="21"/>
        </w:rPr>
        <w:t>综上述动物安全性毒理学评价结果表明，在最大给予受试物浓度、最大给予容量给予铁皮石斛叶10 g/kg.bw(急性经口毒性试验)、8.73g/kg.bw(90天经口毒性试验)和3.75g/kg.bw（致畸试验）剂量下，动物均未产生任何毒副反应。该剂量相当于民间习惯食用量(1-6g/60kg/d)的100倍。根据铁皮石斛叶民间习惯用法、用量，以及动物安全性评价结果，本品作为食品营养补充剂或养生保健食品原料，用于健康和亚健康人群，其拟推荐人体摄入剂量为1-6g/d。</w:t>
      </w:r>
    </w:p>
    <w:p>
      <w:pPr>
        <w:pStyle w:val="11"/>
        <w:tabs>
          <w:tab w:val="center" w:pos="4201"/>
          <w:tab w:val="right" w:leader="dot" w:pos="9298"/>
        </w:tabs>
        <w:adjustRightInd w:val="0"/>
        <w:snapToGrid w:val="0"/>
        <w:spacing w:line="360" w:lineRule="auto"/>
        <w:ind w:firstLine="420"/>
        <w:rPr>
          <w:rFonts w:ascii="Times New Roman" w:hAnsi="Times New Roman"/>
          <w:sz w:val="21"/>
          <w:szCs w:val="21"/>
        </w:rPr>
      </w:pPr>
      <w:r>
        <w:rPr>
          <w:rFonts w:hint="eastAsia" w:ascii="Times New Roman" w:hAnsi="Times New Roman"/>
          <w:sz w:val="21"/>
          <w:szCs w:val="21"/>
        </w:rPr>
        <w:t>虽然铁皮石斛叶在长期的食用中均未见健康损害的报道，动物实验也未见不良反应，但处于安全考虑，建议暂不作为婴幼儿、孕妇及乳母食品。按民间对铁皮石斛叶的食用习惯，推荐每日食用量为≤</w:t>
      </w:r>
      <w:r>
        <w:rPr>
          <w:rFonts w:ascii="Times New Roman" w:hAnsi="Times New Roman"/>
          <w:sz w:val="21"/>
          <w:szCs w:val="21"/>
        </w:rPr>
        <w:t>6g</w:t>
      </w:r>
      <w:r>
        <w:rPr>
          <w:rFonts w:hint="eastAsia" w:ascii="Times New Roman" w:hAnsi="Times New Roman"/>
          <w:sz w:val="21"/>
          <w:szCs w:val="21"/>
        </w:rPr>
        <w:t>。</w:t>
      </w:r>
      <w:bookmarkEnd w:id="1"/>
      <w:r>
        <w:rPr>
          <w:rFonts w:hint="eastAsia" w:ascii="Times New Roman" w:hAnsi="Times New Roman"/>
          <w:sz w:val="21"/>
          <w:szCs w:val="21"/>
        </w:rPr>
        <w:t>本标准同时规定产品标签应标示：</w:t>
      </w:r>
      <w:r>
        <w:rPr>
          <w:rFonts w:hint="eastAsia" w:asciiTheme="minorEastAsia" w:hAnsiTheme="minorEastAsia" w:eastAsiaTheme="minorEastAsia"/>
          <w:sz w:val="21"/>
          <w:szCs w:val="21"/>
        </w:rPr>
        <w:t>“</w:t>
      </w:r>
      <w:r>
        <w:rPr>
          <w:rFonts w:hint="eastAsia" w:ascii="Times New Roman" w:hAnsi="Times New Roman"/>
          <w:sz w:val="21"/>
          <w:szCs w:val="21"/>
        </w:rPr>
        <w:t>每日推荐食用量</w:t>
      </w:r>
      <w:r>
        <w:rPr>
          <w:rFonts w:ascii="Times New Roman" w:hAnsi="Times New Roman"/>
          <w:sz w:val="21"/>
          <w:szCs w:val="21"/>
        </w:rPr>
        <w:t>≤6 g</w:t>
      </w:r>
      <w:r>
        <w:rPr>
          <w:rFonts w:hint="eastAsia" w:ascii="Times New Roman" w:hAnsi="Times New Roman"/>
          <w:sz w:val="21"/>
          <w:szCs w:val="21"/>
        </w:rPr>
        <w:t>。婴幼儿、孕妇及乳母不宜食用</w:t>
      </w:r>
      <w:r>
        <w:rPr>
          <w:rFonts w:hint="eastAsia" w:asciiTheme="minorEastAsia" w:hAnsiTheme="minorEastAsia" w:eastAsiaTheme="minorEastAsia"/>
          <w:sz w:val="21"/>
          <w:szCs w:val="21"/>
        </w:rPr>
        <w:t>”</w:t>
      </w:r>
      <w:r>
        <w:rPr>
          <w:rFonts w:hint="eastAsia" w:ascii="Times New Roman" w:hAnsi="Times New Roman"/>
          <w:sz w:val="21"/>
          <w:szCs w:val="21"/>
        </w:rPr>
        <w:t>。</w:t>
      </w:r>
    </w:p>
    <w:p>
      <w:pPr>
        <w:pStyle w:val="16"/>
        <w:adjustRightInd w:val="0"/>
        <w:snapToGrid w:val="0"/>
        <w:spacing w:before="48" w:line="360" w:lineRule="auto"/>
        <w:ind w:firstLine="480" w:firstLineChars="200"/>
        <w:rPr>
          <w:rFonts w:ascii="Times New Roman" w:hAnsi="Times New Roman"/>
        </w:rPr>
      </w:pPr>
      <w:r>
        <w:rPr>
          <w:rFonts w:ascii="Times New Roman" w:hAnsi="Times New Roman"/>
          <w:b w:val="0"/>
          <w:sz w:val="24"/>
          <w:szCs w:val="28"/>
        </w:rPr>
        <w:t>三、国内</w:t>
      </w:r>
      <w:r>
        <w:rPr>
          <w:rFonts w:hint="eastAsia" w:ascii="Times New Roman" w:hAnsi="Times New Roman"/>
          <w:b w:val="0"/>
          <w:sz w:val="24"/>
          <w:szCs w:val="28"/>
        </w:rPr>
        <w:t>外</w:t>
      </w:r>
      <w:r>
        <w:rPr>
          <w:rFonts w:ascii="Times New Roman" w:hAnsi="Times New Roman"/>
          <w:b w:val="0"/>
          <w:sz w:val="24"/>
          <w:szCs w:val="28"/>
        </w:rPr>
        <w:t>相关标准情况</w:t>
      </w:r>
    </w:p>
    <w:p>
      <w:pPr>
        <w:adjustRightInd w:val="0"/>
        <w:snapToGrid w:val="0"/>
        <w:spacing w:line="360" w:lineRule="auto"/>
        <w:ind w:firstLine="420" w:firstLineChars="200"/>
      </w:pPr>
      <w:r>
        <w:t>铁皮石斛叶</w:t>
      </w:r>
      <w:r>
        <w:rPr>
          <w:rFonts w:hint="eastAsia"/>
        </w:rPr>
        <w:t>属贵州省地方特色食品，目前铁皮石斛叶无国家标准，贵州省无地方标准。本标准在编制中坚持了以国家食品安全法律、法规及标准为纲的原则。即：（1）必要性原则：贯彻国家的法律、法规、方针、政策及国家、行业、地方强制性标准。积极采取国家、行业、地方推荐性标准；企业内部标准只有在确定必要时才能制定，避免没有实际意义的要求形成标准。（2）有效性原则：标准必须具备一定的功效，对标准适用范围内的工作具有有效性。（3）操作性原则：标准要具有实际操作的可能性。（4）持续改进原则：标准的编写体现持续改进的思想，充分考虑先进的管理经验和最新技术水平。在编制标准过程中无重大分歧意见，该标准完全符合现行法律法规和强制性标准，不存在与现行法律、法规和强制性标准相违背之处。</w:t>
      </w:r>
    </w:p>
    <w:p>
      <w:pPr>
        <w:adjustRightInd w:val="0"/>
        <w:snapToGrid w:val="0"/>
        <w:spacing w:line="360" w:lineRule="auto"/>
        <w:ind w:firstLine="420" w:firstLineChars="200"/>
        <w:rPr>
          <w:szCs w:val="21"/>
        </w:rPr>
      </w:pPr>
      <w:r>
        <w:rPr>
          <w:rFonts w:hint="eastAsia"/>
        </w:rPr>
        <w:t>本标准研制</w:t>
      </w:r>
      <w:r>
        <w:rPr>
          <w:rFonts w:hint="eastAsia"/>
          <w:szCs w:val="21"/>
        </w:rPr>
        <w:t>主要参考了如下我国现行的相关标准：</w:t>
      </w:r>
    </w:p>
    <w:p>
      <w:pPr>
        <w:adjustRightInd w:val="0"/>
        <w:snapToGrid w:val="0"/>
        <w:spacing w:line="360" w:lineRule="auto"/>
        <w:ind w:left="420"/>
        <w:jc w:val="left"/>
        <w:rPr>
          <w:rFonts w:ascii="楷体" w:hAnsi="楷体" w:eastAsia="楷体"/>
          <w:b/>
          <w:szCs w:val="21"/>
        </w:rPr>
      </w:pPr>
      <w:r>
        <w:rPr>
          <w:rFonts w:hint="eastAsia" w:ascii="楷体" w:hAnsi="楷体" w:eastAsia="楷体"/>
          <w:b/>
          <w:szCs w:val="21"/>
        </w:rPr>
        <w:t>（一）食品安全国家标准</w:t>
      </w:r>
    </w:p>
    <w:p>
      <w:pPr>
        <w:adjustRightInd w:val="0"/>
        <w:snapToGrid w:val="0"/>
        <w:spacing w:line="360" w:lineRule="auto"/>
        <w:ind w:firstLine="420" w:firstLineChars="200"/>
      </w:pPr>
      <w:r>
        <w:t>《食品安全国家标准 食品中污染物限量》（GB 2762）；《食品安全国家标准 食品中农药最大残留限量》（GB 2763）；</w:t>
      </w:r>
      <w:r>
        <w:rPr>
          <w:rFonts w:hint="eastAsia"/>
          <w:szCs w:val="21"/>
        </w:rPr>
        <w:t>《食品安全国家标准 食品添加剂使用标准》（GB 2760）；</w:t>
      </w:r>
      <w:r>
        <w:t>《食品安全国家标准 保健食品》（GB 16740）</w:t>
      </w:r>
      <w:r>
        <w:rPr>
          <w:rFonts w:hint="eastAsia"/>
        </w:rPr>
        <w:t>。</w:t>
      </w:r>
    </w:p>
    <w:p>
      <w:pPr>
        <w:adjustRightInd w:val="0"/>
        <w:snapToGrid w:val="0"/>
        <w:spacing w:line="360" w:lineRule="auto"/>
        <w:ind w:left="420"/>
        <w:jc w:val="left"/>
        <w:rPr>
          <w:rFonts w:ascii="楷体" w:hAnsi="楷体" w:eastAsia="楷体"/>
          <w:b/>
        </w:rPr>
      </w:pPr>
      <w:r>
        <w:rPr>
          <w:rFonts w:hint="eastAsia" w:ascii="楷体" w:hAnsi="楷体" w:eastAsia="楷体"/>
          <w:b/>
        </w:rPr>
        <w:t>（二）行业标准</w:t>
      </w:r>
    </w:p>
    <w:p>
      <w:pPr>
        <w:adjustRightInd w:val="0"/>
        <w:snapToGrid w:val="0"/>
        <w:spacing w:line="360" w:lineRule="auto"/>
        <w:ind w:firstLine="420" w:firstLineChars="200"/>
        <w:rPr>
          <w:szCs w:val="21"/>
        </w:rPr>
      </w:pPr>
      <w:r>
        <w:rPr>
          <w:rFonts w:hint="eastAsia"/>
          <w:szCs w:val="21"/>
        </w:rPr>
        <w:t>《中华人民共和国供销合作行业标准 代用茶》</w:t>
      </w:r>
      <w:r>
        <w:rPr>
          <w:szCs w:val="21"/>
        </w:rPr>
        <w:t>（GH/T 1091）</w:t>
      </w:r>
      <w:r>
        <w:rPr>
          <w:rFonts w:hint="eastAsia" w:eastAsiaTheme="minorEastAsia"/>
          <w:szCs w:val="21"/>
        </w:rPr>
        <w:t>、</w:t>
      </w:r>
      <w:r>
        <w:rPr>
          <w:rFonts w:hint="eastAsia"/>
          <w:szCs w:val="21"/>
        </w:rPr>
        <w:t>《中华人民共和国农业行业标准 绿色食品 代用茶》</w:t>
      </w:r>
      <w:r>
        <w:rPr>
          <w:szCs w:val="21"/>
        </w:rPr>
        <w:t>（NY/T 2140）</w:t>
      </w:r>
      <w:r>
        <w:rPr>
          <w:rFonts w:hint="eastAsia" w:eastAsiaTheme="minorEastAsia"/>
          <w:szCs w:val="21"/>
        </w:rPr>
        <w:t>、</w:t>
      </w:r>
      <w:r>
        <w:rPr>
          <w:rFonts w:hint="eastAsia"/>
          <w:szCs w:val="21"/>
        </w:rPr>
        <w:t>《中华人民共和国农业行业标准 绿色食品 茶叶》</w:t>
      </w:r>
      <w:r>
        <w:rPr>
          <w:szCs w:val="21"/>
        </w:rPr>
        <w:t>（NY/T 228）</w:t>
      </w:r>
      <w:r>
        <w:rPr>
          <w:rFonts w:hint="eastAsia"/>
          <w:szCs w:val="21"/>
        </w:rPr>
        <w:t>、《</w:t>
      </w:r>
      <w:r>
        <w:rPr>
          <w:szCs w:val="21"/>
        </w:rPr>
        <w:t>绿茶 第1部分：基本要求</w:t>
      </w:r>
      <w:r>
        <w:rPr>
          <w:rFonts w:hint="eastAsia"/>
          <w:szCs w:val="21"/>
        </w:rPr>
        <w:t>》（</w:t>
      </w:r>
      <w:r>
        <w:rPr>
          <w:szCs w:val="21"/>
        </w:rPr>
        <w:t>GB/T 14456.1</w:t>
      </w:r>
      <w:r>
        <w:rPr>
          <w:rFonts w:hint="eastAsia"/>
          <w:szCs w:val="21"/>
        </w:rPr>
        <w:t>）、</w:t>
      </w:r>
      <w:r>
        <w:rPr>
          <w:szCs w:val="21"/>
        </w:rPr>
        <w:t>《绿茶第2部分</w:t>
      </w:r>
      <w:r>
        <w:rPr>
          <w:rFonts w:hint="eastAsia"/>
          <w:szCs w:val="21"/>
        </w:rPr>
        <w:t>：</w:t>
      </w:r>
      <w:r>
        <w:rPr>
          <w:szCs w:val="21"/>
        </w:rPr>
        <w:t>大叶种绿茶》（GB/T 14456.2）</w:t>
      </w:r>
      <w:r>
        <w:rPr>
          <w:rFonts w:hint="eastAsia"/>
          <w:szCs w:val="21"/>
        </w:rPr>
        <w:t>。</w:t>
      </w:r>
    </w:p>
    <w:p>
      <w:pPr>
        <w:adjustRightInd w:val="0"/>
        <w:snapToGrid w:val="0"/>
        <w:spacing w:line="360" w:lineRule="auto"/>
        <w:ind w:left="420"/>
        <w:jc w:val="left"/>
        <w:rPr>
          <w:rFonts w:ascii="楷体" w:hAnsi="楷体" w:eastAsia="楷体"/>
          <w:b/>
          <w:szCs w:val="21"/>
        </w:rPr>
      </w:pPr>
      <w:r>
        <w:rPr>
          <w:rFonts w:hint="eastAsia" w:ascii="楷体" w:hAnsi="楷体" w:eastAsia="楷体"/>
          <w:b/>
          <w:szCs w:val="21"/>
        </w:rPr>
        <w:t>（三）食品安全地方标准</w:t>
      </w:r>
    </w:p>
    <w:p>
      <w:pPr>
        <w:adjustRightInd w:val="0"/>
        <w:snapToGrid w:val="0"/>
        <w:spacing w:line="360" w:lineRule="auto"/>
        <w:ind w:firstLine="420" w:firstLineChars="200"/>
        <w:rPr>
          <w:szCs w:val="21"/>
        </w:rPr>
      </w:pPr>
      <w:r>
        <w:rPr>
          <w:rFonts w:hint="eastAsia"/>
          <w:szCs w:val="21"/>
        </w:rPr>
        <w:t>《贵州省地方标准 都匀毛尖》（</w:t>
      </w:r>
      <w:r>
        <w:rPr>
          <w:szCs w:val="21"/>
        </w:rPr>
        <w:t>DB52/T 433</w:t>
      </w:r>
      <w:r>
        <w:rPr>
          <w:rFonts w:hint="eastAsia"/>
          <w:szCs w:val="21"/>
        </w:rPr>
        <w:t>-</w:t>
      </w:r>
      <w:r>
        <w:rPr>
          <w:szCs w:val="21"/>
        </w:rPr>
        <w:t>2018</w:t>
      </w:r>
      <w:r>
        <w:rPr>
          <w:rFonts w:hint="eastAsia"/>
          <w:szCs w:val="21"/>
        </w:rPr>
        <w:t>）、贵州省《食品安全地方标准 代用茶》（</w:t>
      </w:r>
      <w:r>
        <w:rPr>
          <w:szCs w:val="21"/>
        </w:rPr>
        <w:t>DBS 52/002</w:t>
      </w:r>
      <w:r>
        <w:rPr>
          <w:rFonts w:hint="eastAsia"/>
          <w:szCs w:val="21"/>
        </w:rPr>
        <w:t>）、</w:t>
      </w:r>
      <w:r>
        <w:t>云南省《食品安全地方标准 紫皮石斛》（DBS 53/027）</w:t>
      </w:r>
      <w:r>
        <w:rPr>
          <w:rFonts w:hint="eastAsia" w:eastAsiaTheme="minorEastAsia"/>
          <w:szCs w:val="21"/>
        </w:rPr>
        <w:t>、</w:t>
      </w:r>
      <w:bookmarkStart w:id="2" w:name="_GoBack"/>
      <w:bookmarkEnd w:id="2"/>
      <w:r>
        <w:rPr>
          <w:rFonts w:hint="eastAsia" w:eastAsiaTheme="minorEastAsia"/>
          <w:szCs w:val="21"/>
          <w:lang w:eastAsia="zh-CN"/>
        </w:rPr>
        <w:t>广西壮族自治区</w:t>
      </w:r>
      <w:r>
        <w:rPr>
          <w:rFonts w:hint="eastAsia"/>
          <w:szCs w:val="21"/>
        </w:rPr>
        <w:t>《食品安全地方标准 代用茶和调味茶》（</w:t>
      </w:r>
      <w:r>
        <w:rPr>
          <w:szCs w:val="21"/>
        </w:rPr>
        <w:t>DBS 45/006</w:t>
      </w:r>
      <w:r>
        <w:rPr>
          <w:rFonts w:hint="eastAsia"/>
          <w:szCs w:val="21"/>
        </w:rPr>
        <w:t>）、河南省《食品安全地方标准 代用茶》（</w:t>
      </w:r>
      <w:r>
        <w:rPr>
          <w:szCs w:val="21"/>
        </w:rPr>
        <w:t>DBS 41/010</w:t>
      </w:r>
      <w:r>
        <w:rPr>
          <w:rFonts w:hint="eastAsia"/>
          <w:szCs w:val="21"/>
        </w:rPr>
        <w:t>）、安徽省《食品安全地方标准 代用茶》（</w:t>
      </w:r>
      <w:r>
        <w:rPr>
          <w:szCs w:val="21"/>
        </w:rPr>
        <w:t>DBS 34/2607</w:t>
      </w:r>
      <w:r>
        <w:rPr>
          <w:rFonts w:hint="eastAsia"/>
          <w:szCs w:val="21"/>
        </w:rPr>
        <w:t>）、河北省《食品安全地方标准 代用茶》（DBS</w:t>
      </w:r>
      <w:r>
        <w:rPr>
          <w:szCs w:val="21"/>
        </w:rPr>
        <w:t xml:space="preserve"> </w:t>
      </w:r>
      <w:r>
        <w:rPr>
          <w:rFonts w:hint="eastAsia"/>
          <w:szCs w:val="21"/>
        </w:rPr>
        <w:t>13/002）、吉林省《食品安全地方标准 代用茶》（</w:t>
      </w:r>
      <w:r>
        <w:rPr>
          <w:szCs w:val="21"/>
        </w:rPr>
        <w:t>DBS 22/032</w:t>
      </w:r>
      <w:r>
        <w:rPr>
          <w:rFonts w:hint="eastAsia"/>
          <w:szCs w:val="21"/>
        </w:rPr>
        <w:t>）以及陕西省《食品安全地方标准 代用茶安全要求》（</w:t>
      </w:r>
      <w:r>
        <w:rPr>
          <w:szCs w:val="21"/>
        </w:rPr>
        <w:t>DBS 61/003</w:t>
      </w:r>
      <w:r>
        <w:rPr>
          <w:rFonts w:hint="eastAsia"/>
          <w:szCs w:val="21"/>
        </w:rPr>
        <w:t>）。</w:t>
      </w:r>
    </w:p>
    <w:p>
      <w:pPr>
        <w:adjustRightInd w:val="0"/>
        <w:snapToGrid w:val="0"/>
        <w:spacing w:line="360" w:lineRule="auto"/>
        <w:ind w:left="420"/>
        <w:jc w:val="left"/>
        <w:rPr>
          <w:rFonts w:ascii="楷体" w:hAnsi="楷体" w:eastAsia="楷体"/>
          <w:b/>
          <w:szCs w:val="21"/>
        </w:rPr>
      </w:pPr>
      <w:r>
        <w:rPr>
          <w:rFonts w:hint="eastAsia" w:ascii="楷体" w:hAnsi="楷体" w:eastAsia="楷体"/>
          <w:b/>
          <w:szCs w:val="21"/>
        </w:rPr>
        <w:t>（四）其他</w:t>
      </w:r>
    </w:p>
    <w:p>
      <w:pPr>
        <w:adjustRightInd w:val="0"/>
        <w:snapToGrid w:val="0"/>
        <w:spacing w:line="360" w:lineRule="auto"/>
        <w:ind w:firstLine="420" w:firstLineChars="200"/>
        <w:rPr>
          <w:szCs w:val="21"/>
        </w:rPr>
      </w:pPr>
      <w:r>
        <w:t>2015版药典对人参、西洋参、黄芪甘草的农残限量及对菊花水分的限量要求。中国药典铁皮石斛多糖含量的测定。</w:t>
      </w:r>
    </w:p>
    <w:p>
      <w:pPr>
        <w:pStyle w:val="16"/>
        <w:adjustRightInd w:val="0"/>
        <w:snapToGrid w:val="0"/>
        <w:spacing w:before="48" w:line="360" w:lineRule="auto"/>
        <w:rPr>
          <w:rFonts w:ascii="Times New Roman" w:hAnsi="Times New Roman"/>
          <w:b w:val="0"/>
          <w:sz w:val="24"/>
          <w:szCs w:val="28"/>
        </w:rPr>
      </w:pPr>
      <w:r>
        <w:rPr>
          <w:rFonts w:ascii="Times New Roman" w:hAnsi="Times New Roman"/>
          <w:b w:val="0"/>
          <w:sz w:val="24"/>
          <w:szCs w:val="28"/>
        </w:rPr>
        <w:t>四、其他需要在网上公开说明的事项</w:t>
      </w:r>
    </w:p>
    <w:p>
      <w:pPr>
        <w:adjustRightInd w:val="0"/>
        <w:snapToGrid w:val="0"/>
        <w:spacing w:line="360" w:lineRule="auto"/>
        <w:ind w:firstLine="420" w:firstLineChars="200"/>
        <w:rPr>
          <w:szCs w:val="21"/>
        </w:rPr>
      </w:pPr>
      <w:r>
        <w:rPr>
          <w:szCs w:val="21"/>
        </w:rPr>
        <w:t>暂无。</w:t>
      </w:r>
    </w:p>
    <w:p>
      <w:pPr>
        <w:widowControl/>
        <w:jc w:val="left"/>
        <w:rPr>
          <w:rFonts w:eastAsia="黑体"/>
          <w:sz w:val="28"/>
          <w:szCs w:val="28"/>
        </w:rPr>
      </w:pPr>
      <w:r>
        <w:rPr>
          <w:b/>
          <w:sz w:val="28"/>
          <w:szCs w:val="28"/>
        </w:rPr>
        <w:br w:type="page"/>
      </w:r>
    </w:p>
    <w:p>
      <w:pPr>
        <w:pStyle w:val="16"/>
        <w:adjustRightInd w:val="0"/>
        <w:snapToGrid w:val="0"/>
        <w:spacing w:beforeLines="0" w:line="360" w:lineRule="auto"/>
        <w:rPr>
          <w:rFonts w:ascii="Times New Roman" w:hAnsi="Times New Roman"/>
          <w:b w:val="0"/>
          <w:sz w:val="28"/>
          <w:szCs w:val="28"/>
        </w:rPr>
      </w:pPr>
      <w:r>
        <w:rPr>
          <w:rFonts w:hint="eastAsia" w:ascii="Times New Roman" w:hAnsi="Times New Roman"/>
          <w:b w:val="0"/>
          <w:sz w:val="28"/>
          <w:szCs w:val="28"/>
        </w:rPr>
        <w:t>附录</w:t>
      </w:r>
    </w:p>
    <w:p>
      <w:pPr>
        <w:spacing w:line="360" w:lineRule="auto"/>
        <w:rPr>
          <w:b/>
          <w:sz w:val="24"/>
        </w:rPr>
      </w:pPr>
      <w:r>
        <w:rPr>
          <w:rFonts w:hint="eastAsia"/>
          <w:b/>
          <w:sz w:val="24"/>
        </w:rPr>
        <w:t>附录一：安全毒理学试验检验报告</w:t>
      </w:r>
    </w:p>
    <w:p>
      <w:pPr>
        <w:spacing w:line="360" w:lineRule="auto"/>
        <w:rPr>
          <w:b/>
          <w:sz w:val="24"/>
        </w:rPr>
      </w:pPr>
      <w:r>
        <w:rPr>
          <w:rFonts w:hint="eastAsia"/>
          <w:b/>
          <w:sz w:val="24"/>
        </w:rPr>
        <w:t>附录二：前三批水分、灰分、粗多糖、蛋白质含量检测报告</w:t>
      </w:r>
    </w:p>
    <w:p>
      <w:pPr>
        <w:spacing w:line="360" w:lineRule="auto"/>
        <w:rPr>
          <w:b/>
          <w:sz w:val="24"/>
        </w:rPr>
      </w:pPr>
      <w:r>
        <w:rPr>
          <w:rFonts w:hint="eastAsia"/>
          <w:b/>
          <w:sz w:val="24"/>
        </w:rPr>
        <w:t>附录三：3</w:t>
      </w:r>
      <w:r>
        <w:rPr>
          <w:b/>
          <w:sz w:val="24"/>
        </w:rPr>
        <w:t>5</w:t>
      </w:r>
      <w:r>
        <w:rPr>
          <w:rFonts w:hint="eastAsia"/>
          <w:b/>
          <w:sz w:val="24"/>
        </w:rPr>
        <w:t>种市售常用农药残留量检测结果</w:t>
      </w:r>
    </w:p>
    <w:p>
      <w:pPr>
        <w:spacing w:line="360" w:lineRule="auto"/>
        <w:rPr>
          <w:b/>
          <w:sz w:val="24"/>
        </w:rPr>
      </w:pPr>
      <w:r>
        <w:rPr>
          <w:rFonts w:hint="eastAsia"/>
          <w:b/>
          <w:sz w:val="24"/>
        </w:rPr>
        <w:t>附录四：3</w:t>
      </w:r>
      <w:r>
        <w:rPr>
          <w:b/>
          <w:sz w:val="24"/>
        </w:rPr>
        <w:t>3</w:t>
      </w:r>
      <w:r>
        <w:rPr>
          <w:rFonts w:hint="eastAsia"/>
          <w:b/>
          <w:sz w:val="24"/>
        </w:rPr>
        <w:t>种金属或类金属以及1</w:t>
      </w:r>
      <w:r>
        <w:rPr>
          <w:b/>
          <w:sz w:val="24"/>
        </w:rPr>
        <w:t>6</w:t>
      </w:r>
      <w:r>
        <w:rPr>
          <w:rFonts w:hint="eastAsia"/>
          <w:b/>
          <w:sz w:val="24"/>
        </w:rPr>
        <w:t>种稀土元素监测筛查结果</w:t>
      </w:r>
    </w:p>
    <w:p>
      <w:pPr>
        <w:widowControl/>
        <w:jc w:val="left"/>
        <w:rPr>
          <w:b/>
          <w:sz w:val="24"/>
        </w:rPr>
      </w:pPr>
      <w:r>
        <w:rPr>
          <w:b/>
          <w:sz w:val="24"/>
        </w:rPr>
        <w:br w:type="page"/>
      </w:r>
    </w:p>
    <w:p>
      <w:pPr>
        <w:spacing w:line="360" w:lineRule="auto"/>
        <w:rPr>
          <w:b/>
          <w:sz w:val="24"/>
        </w:rPr>
      </w:pPr>
      <w:r>
        <w:rPr>
          <w:rFonts w:hint="eastAsia"/>
          <w:b/>
          <w:sz w:val="24"/>
        </w:rPr>
        <w:t>附件一： 安全毒理学试验检验报告</w:t>
      </w:r>
    </w:p>
    <w:p>
      <w:pPr>
        <w:adjustRightInd w:val="0"/>
        <w:snapToGrid w:val="0"/>
        <w:spacing w:line="360" w:lineRule="auto"/>
        <w:rPr>
          <w:b/>
          <w:sz w:val="24"/>
        </w:rPr>
      </w:pPr>
      <w:r>
        <w:drawing>
          <wp:inline distT="0" distB="0" distL="0" distR="0">
            <wp:extent cx="5615940" cy="7945120"/>
            <wp:effectExtent l="0" t="0" r="381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9"/>
                    <a:stretch>
                      <a:fillRect/>
                    </a:stretch>
                  </pic:blipFill>
                  <pic:spPr>
                    <a:xfrm>
                      <a:off x="0" y="0"/>
                      <a:ext cx="5615940" cy="7945120"/>
                    </a:xfrm>
                    <a:prstGeom prst="rect">
                      <a:avLst/>
                    </a:prstGeom>
                  </pic:spPr>
                </pic:pic>
              </a:graphicData>
            </a:graphic>
          </wp:inline>
        </w:drawing>
      </w:r>
    </w:p>
    <w:p>
      <w:pPr>
        <w:widowControl/>
        <w:jc w:val="left"/>
      </w:pPr>
      <w:r>
        <w:drawing>
          <wp:inline distT="0" distB="0" distL="0" distR="0">
            <wp:extent cx="5615940" cy="7945120"/>
            <wp:effectExtent l="0" t="0" r="381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0"/>
                    <a:stretch>
                      <a:fillRect/>
                    </a:stretch>
                  </pic:blipFill>
                  <pic:spPr>
                    <a:xfrm>
                      <a:off x="0" y="0"/>
                      <a:ext cx="5615940" cy="7945120"/>
                    </a:xfrm>
                    <a:prstGeom prst="rect">
                      <a:avLst/>
                    </a:prstGeom>
                  </pic:spPr>
                </pic:pic>
              </a:graphicData>
            </a:graphic>
          </wp:inline>
        </w:drawing>
      </w:r>
    </w:p>
    <w:p>
      <w:pPr>
        <w:adjustRightInd w:val="0"/>
        <w:snapToGrid w:val="0"/>
        <w:spacing w:line="360" w:lineRule="auto"/>
        <w:ind w:firstLine="420" w:firstLineChars="200"/>
        <w:rPr>
          <w:b/>
          <w:szCs w:val="21"/>
        </w:rPr>
      </w:pPr>
      <w:r>
        <w:drawing>
          <wp:inline distT="0" distB="0" distL="0" distR="0">
            <wp:extent cx="5615940" cy="7945120"/>
            <wp:effectExtent l="0" t="0" r="381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1"/>
                    <a:stretch>
                      <a:fillRect/>
                    </a:stretch>
                  </pic:blipFill>
                  <pic:spPr>
                    <a:xfrm>
                      <a:off x="0" y="0"/>
                      <a:ext cx="5615940" cy="7945120"/>
                    </a:xfrm>
                    <a:prstGeom prst="rect">
                      <a:avLst/>
                    </a:prstGeom>
                  </pic:spPr>
                </pic:pic>
              </a:graphicData>
            </a:graphic>
          </wp:inline>
        </w:drawing>
      </w:r>
      <w:r>
        <w:drawing>
          <wp:inline distT="0" distB="0" distL="0" distR="0">
            <wp:extent cx="5615940" cy="7945120"/>
            <wp:effectExtent l="0" t="0" r="381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2"/>
                    <a:stretch>
                      <a:fillRect/>
                    </a:stretch>
                  </pic:blipFill>
                  <pic:spPr>
                    <a:xfrm>
                      <a:off x="0" y="0"/>
                      <a:ext cx="5615940" cy="7945120"/>
                    </a:xfrm>
                    <a:prstGeom prst="rect">
                      <a:avLst/>
                    </a:prstGeom>
                  </pic:spPr>
                </pic:pic>
              </a:graphicData>
            </a:graphic>
          </wp:inline>
        </w:drawing>
      </w:r>
      <w:r>
        <w:drawing>
          <wp:inline distT="0" distB="0" distL="0" distR="0">
            <wp:extent cx="5615940" cy="7945120"/>
            <wp:effectExtent l="0" t="0" r="381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3"/>
                    <a:stretch>
                      <a:fillRect/>
                    </a:stretch>
                  </pic:blipFill>
                  <pic:spPr>
                    <a:xfrm>
                      <a:off x="0" y="0"/>
                      <a:ext cx="5615940" cy="7945120"/>
                    </a:xfrm>
                    <a:prstGeom prst="rect">
                      <a:avLst/>
                    </a:prstGeom>
                  </pic:spPr>
                </pic:pic>
              </a:graphicData>
            </a:graphic>
          </wp:inline>
        </w:drawing>
      </w:r>
      <w:r>
        <w:drawing>
          <wp:inline distT="0" distB="0" distL="0" distR="0">
            <wp:extent cx="5615940" cy="7945120"/>
            <wp:effectExtent l="0" t="0" r="381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4"/>
                    <a:stretch>
                      <a:fillRect/>
                    </a:stretch>
                  </pic:blipFill>
                  <pic:spPr>
                    <a:xfrm>
                      <a:off x="0" y="0"/>
                      <a:ext cx="5615940" cy="7945120"/>
                    </a:xfrm>
                    <a:prstGeom prst="rect">
                      <a:avLst/>
                    </a:prstGeom>
                  </pic:spPr>
                </pic:pic>
              </a:graphicData>
            </a:graphic>
          </wp:inline>
        </w:drawing>
      </w:r>
      <w:r>
        <w:drawing>
          <wp:inline distT="0" distB="0" distL="0" distR="0">
            <wp:extent cx="5615940" cy="7945120"/>
            <wp:effectExtent l="0" t="0" r="381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5"/>
                    <a:stretch>
                      <a:fillRect/>
                    </a:stretch>
                  </pic:blipFill>
                  <pic:spPr>
                    <a:xfrm>
                      <a:off x="0" y="0"/>
                      <a:ext cx="5615940" cy="7945120"/>
                    </a:xfrm>
                    <a:prstGeom prst="rect">
                      <a:avLst/>
                    </a:prstGeom>
                  </pic:spPr>
                </pic:pic>
              </a:graphicData>
            </a:graphic>
          </wp:inline>
        </w:drawing>
      </w:r>
      <w:r>
        <w:drawing>
          <wp:inline distT="0" distB="0" distL="0" distR="0">
            <wp:extent cx="5615940" cy="7945120"/>
            <wp:effectExtent l="0" t="0" r="381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6"/>
                    <a:stretch>
                      <a:fillRect/>
                    </a:stretch>
                  </pic:blipFill>
                  <pic:spPr>
                    <a:xfrm>
                      <a:off x="0" y="0"/>
                      <a:ext cx="5615940" cy="7945120"/>
                    </a:xfrm>
                    <a:prstGeom prst="rect">
                      <a:avLst/>
                    </a:prstGeom>
                  </pic:spPr>
                </pic:pic>
              </a:graphicData>
            </a:graphic>
          </wp:inline>
        </w:drawing>
      </w:r>
      <w:r>
        <w:drawing>
          <wp:inline distT="0" distB="0" distL="0" distR="0">
            <wp:extent cx="5615940" cy="7945120"/>
            <wp:effectExtent l="0" t="0" r="381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17"/>
                    <a:stretch>
                      <a:fillRect/>
                    </a:stretch>
                  </pic:blipFill>
                  <pic:spPr>
                    <a:xfrm>
                      <a:off x="0" y="0"/>
                      <a:ext cx="5615940" cy="7945120"/>
                    </a:xfrm>
                    <a:prstGeom prst="rect">
                      <a:avLst/>
                    </a:prstGeom>
                  </pic:spPr>
                </pic:pic>
              </a:graphicData>
            </a:graphic>
          </wp:inline>
        </w:drawing>
      </w:r>
      <w:r>
        <w:drawing>
          <wp:inline distT="0" distB="0" distL="0" distR="0">
            <wp:extent cx="5615940" cy="7945120"/>
            <wp:effectExtent l="0" t="0" r="381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18"/>
                    <a:stretch>
                      <a:fillRect/>
                    </a:stretch>
                  </pic:blipFill>
                  <pic:spPr>
                    <a:xfrm>
                      <a:off x="0" y="0"/>
                      <a:ext cx="5615940" cy="7945120"/>
                    </a:xfrm>
                    <a:prstGeom prst="rect">
                      <a:avLst/>
                    </a:prstGeom>
                  </pic:spPr>
                </pic:pic>
              </a:graphicData>
            </a:graphic>
          </wp:inline>
        </w:drawing>
      </w:r>
      <w:r>
        <w:drawing>
          <wp:inline distT="0" distB="0" distL="0" distR="0">
            <wp:extent cx="5615940" cy="7945120"/>
            <wp:effectExtent l="0" t="0" r="381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19"/>
                    <a:stretch>
                      <a:fillRect/>
                    </a:stretch>
                  </pic:blipFill>
                  <pic:spPr>
                    <a:xfrm>
                      <a:off x="0" y="0"/>
                      <a:ext cx="5615940" cy="7945120"/>
                    </a:xfrm>
                    <a:prstGeom prst="rect">
                      <a:avLst/>
                    </a:prstGeom>
                  </pic:spPr>
                </pic:pic>
              </a:graphicData>
            </a:graphic>
          </wp:inline>
        </w:drawing>
      </w:r>
      <w:r>
        <w:drawing>
          <wp:inline distT="0" distB="0" distL="0" distR="0">
            <wp:extent cx="5615940" cy="7945120"/>
            <wp:effectExtent l="0" t="0" r="381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20"/>
                    <a:stretch>
                      <a:fillRect/>
                    </a:stretch>
                  </pic:blipFill>
                  <pic:spPr>
                    <a:xfrm>
                      <a:off x="0" y="0"/>
                      <a:ext cx="5615940" cy="7945120"/>
                    </a:xfrm>
                    <a:prstGeom prst="rect">
                      <a:avLst/>
                    </a:prstGeom>
                  </pic:spPr>
                </pic:pic>
              </a:graphicData>
            </a:graphic>
          </wp:inline>
        </w:drawing>
      </w:r>
      <w:r>
        <w:drawing>
          <wp:inline distT="0" distB="0" distL="0" distR="0">
            <wp:extent cx="5615940" cy="7945120"/>
            <wp:effectExtent l="0" t="0" r="381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21"/>
                    <a:stretch>
                      <a:fillRect/>
                    </a:stretch>
                  </pic:blipFill>
                  <pic:spPr>
                    <a:xfrm>
                      <a:off x="0" y="0"/>
                      <a:ext cx="5615940" cy="7945120"/>
                    </a:xfrm>
                    <a:prstGeom prst="rect">
                      <a:avLst/>
                    </a:prstGeom>
                  </pic:spPr>
                </pic:pic>
              </a:graphicData>
            </a:graphic>
          </wp:inline>
        </w:drawing>
      </w:r>
      <w:r>
        <w:drawing>
          <wp:inline distT="0" distB="0" distL="0" distR="0">
            <wp:extent cx="5615940" cy="7945120"/>
            <wp:effectExtent l="0" t="0" r="381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22"/>
                    <a:stretch>
                      <a:fillRect/>
                    </a:stretch>
                  </pic:blipFill>
                  <pic:spPr>
                    <a:xfrm>
                      <a:off x="0" y="0"/>
                      <a:ext cx="5615940" cy="7945120"/>
                    </a:xfrm>
                    <a:prstGeom prst="rect">
                      <a:avLst/>
                    </a:prstGeom>
                  </pic:spPr>
                </pic:pic>
              </a:graphicData>
            </a:graphic>
          </wp:inline>
        </w:drawing>
      </w:r>
      <w:r>
        <w:drawing>
          <wp:inline distT="0" distB="0" distL="0" distR="0">
            <wp:extent cx="5615940" cy="7945120"/>
            <wp:effectExtent l="0" t="0" r="381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23"/>
                    <a:stretch>
                      <a:fillRect/>
                    </a:stretch>
                  </pic:blipFill>
                  <pic:spPr>
                    <a:xfrm>
                      <a:off x="0" y="0"/>
                      <a:ext cx="5615940" cy="7945120"/>
                    </a:xfrm>
                    <a:prstGeom prst="rect">
                      <a:avLst/>
                    </a:prstGeom>
                  </pic:spPr>
                </pic:pic>
              </a:graphicData>
            </a:graphic>
          </wp:inline>
        </w:drawing>
      </w:r>
      <w:r>
        <w:drawing>
          <wp:inline distT="0" distB="0" distL="0" distR="0">
            <wp:extent cx="5615940" cy="7945120"/>
            <wp:effectExtent l="0" t="0" r="381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24"/>
                    <a:stretch>
                      <a:fillRect/>
                    </a:stretch>
                  </pic:blipFill>
                  <pic:spPr>
                    <a:xfrm>
                      <a:off x="0" y="0"/>
                      <a:ext cx="5615940" cy="7945120"/>
                    </a:xfrm>
                    <a:prstGeom prst="rect">
                      <a:avLst/>
                    </a:prstGeom>
                  </pic:spPr>
                </pic:pic>
              </a:graphicData>
            </a:graphic>
          </wp:inline>
        </w:drawing>
      </w:r>
      <w:r>
        <w:drawing>
          <wp:inline distT="0" distB="0" distL="0" distR="0">
            <wp:extent cx="5615940" cy="7945120"/>
            <wp:effectExtent l="0" t="0" r="381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25"/>
                    <a:stretch>
                      <a:fillRect/>
                    </a:stretch>
                  </pic:blipFill>
                  <pic:spPr>
                    <a:xfrm>
                      <a:off x="0" y="0"/>
                      <a:ext cx="5615940" cy="7945120"/>
                    </a:xfrm>
                    <a:prstGeom prst="rect">
                      <a:avLst/>
                    </a:prstGeom>
                  </pic:spPr>
                </pic:pic>
              </a:graphicData>
            </a:graphic>
          </wp:inline>
        </w:drawing>
      </w:r>
      <w:r>
        <w:drawing>
          <wp:inline distT="0" distB="0" distL="0" distR="0">
            <wp:extent cx="5615940" cy="7945120"/>
            <wp:effectExtent l="0" t="0" r="381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26"/>
                    <a:stretch>
                      <a:fillRect/>
                    </a:stretch>
                  </pic:blipFill>
                  <pic:spPr>
                    <a:xfrm>
                      <a:off x="0" y="0"/>
                      <a:ext cx="5615940" cy="7945120"/>
                    </a:xfrm>
                    <a:prstGeom prst="rect">
                      <a:avLst/>
                    </a:prstGeom>
                  </pic:spPr>
                </pic:pic>
              </a:graphicData>
            </a:graphic>
          </wp:inline>
        </w:drawing>
      </w:r>
      <w:r>
        <w:drawing>
          <wp:inline distT="0" distB="0" distL="0" distR="0">
            <wp:extent cx="5615940" cy="7945120"/>
            <wp:effectExtent l="0" t="0" r="381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27"/>
                    <a:stretch>
                      <a:fillRect/>
                    </a:stretch>
                  </pic:blipFill>
                  <pic:spPr>
                    <a:xfrm>
                      <a:off x="0" y="0"/>
                      <a:ext cx="5615940" cy="7945120"/>
                    </a:xfrm>
                    <a:prstGeom prst="rect">
                      <a:avLst/>
                    </a:prstGeom>
                  </pic:spPr>
                </pic:pic>
              </a:graphicData>
            </a:graphic>
          </wp:inline>
        </w:drawing>
      </w:r>
      <w:r>
        <w:drawing>
          <wp:inline distT="0" distB="0" distL="0" distR="0">
            <wp:extent cx="5615940" cy="7945120"/>
            <wp:effectExtent l="0" t="0" r="381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28"/>
                    <a:stretch>
                      <a:fillRect/>
                    </a:stretch>
                  </pic:blipFill>
                  <pic:spPr>
                    <a:xfrm>
                      <a:off x="0" y="0"/>
                      <a:ext cx="5615940" cy="7945120"/>
                    </a:xfrm>
                    <a:prstGeom prst="rect">
                      <a:avLst/>
                    </a:prstGeom>
                  </pic:spPr>
                </pic:pic>
              </a:graphicData>
            </a:graphic>
          </wp:inline>
        </w:drawing>
      </w:r>
      <w:r>
        <w:drawing>
          <wp:inline distT="0" distB="0" distL="0" distR="0">
            <wp:extent cx="5615940" cy="7945120"/>
            <wp:effectExtent l="0" t="0" r="381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29"/>
                    <a:stretch>
                      <a:fillRect/>
                    </a:stretch>
                  </pic:blipFill>
                  <pic:spPr>
                    <a:xfrm>
                      <a:off x="0" y="0"/>
                      <a:ext cx="5615940" cy="7945120"/>
                    </a:xfrm>
                    <a:prstGeom prst="rect">
                      <a:avLst/>
                    </a:prstGeom>
                  </pic:spPr>
                </pic:pic>
              </a:graphicData>
            </a:graphic>
          </wp:inline>
        </w:drawing>
      </w:r>
      <w:r>
        <w:drawing>
          <wp:inline distT="0" distB="0" distL="0" distR="0">
            <wp:extent cx="5615940" cy="7945120"/>
            <wp:effectExtent l="0" t="0" r="381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30"/>
                    <a:stretch>
                      <a:fillRect/>
                    </a:stretch>
                  </pic:blipFill>
                  <pic:spPr>
                    <a:xfrm>
                      <a:off x="0" y="0"/>
                      <a:ext cx="5615940" cy="7945120"/>
                    </a:xfrm>
                    <a:prstGeom prst="rect">
                      <a:avLst/>
                    </a:prstGeom>
                  </pic:spPr>
                </pic:pic>
              </a:graphicData>
            </a:graphic>
          </wp:inline>
        </w:drawing>
      </w:r>
      <w:r>
        <w:drawing>
          <wp:inline distT="0" distB="0" distL="0" distR="0">
            <wp:extent cx="5615940" cy="7945120"/>
            <wp:effectExtent l="0" t="0" r="381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31"/>
                    <a:stretch>
                      <a:fillRect/>
                    </a:stretch>
                  </pic:blipFill>
                  <pic:spPr>
                    <a:xfrm>
                      <a:off x="0" y="0"/>
                      <a:ext cx="5615940" cy="7945120"/>
                    </a:xfrm>
                    <a:prstGeom prst="rect">
                      <a:avLst/>
                    </a:prstGeom>
                  </pic:spPr>
                </pic:pic>
              </a:graphicData>
            </a:graphic>
          </wp:inline>
        </w:drawing>
      </w:r>
      <w:r>
        <w:drawing>
          <wp:inline distT="0" distB="0" distL="0" distR="0">
            <wp:extent cx="5615940" cy="7945120"/>
            <wp:effectExtent l="0" t="0" r="381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32"/>
                    <a:stretch>
                      <a:fillRect/>
                    </a:stretch>
                  </pic:blipFill>
                  <pic:spPr>
                    <a:xfrm>
                      <a:off x="0" y="0"/>
                      <a:ext cx="5615940" cy="7945120"/>
                    </a:xfrm>
                    <a:prstGeom prst="rect">
                      <a:avLst/>
                    </a:prstGeom>
                  </pic:spPr>
                </pic:pic>
              </a:graphicData>
            </a:graphic>
          </wp:inline>
        </w:drawing>
      </w:r>
      <w:r>
        <w:drawing>
          <wp:inline distT="0" distB="0" distL="0" distR="0">
            <wp:extent cx="5615940" cy="7945120"/>
            <wp:effectExtent l="0" t="0" r="381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33"/>
                    <a:stretch>
                      <a:fillRect/>
                    </a:stretch>
                  </pic:blipFill>
                  <pic:spPr>
                    <a:xfrm>
                      <a:off x="0" y="0"/>
                      <a:ext cx="5615940" cy="7945120"/>
                    </a:xfrm>
                    <a:prstGeom prst="rect">
                      <a:avLst/>
                    </a:prstGeom>
                  </pic:spPr>
                </pic:pic>
              </a:graphicData>
            </a:graphic>
          </wp:inline>
        </w:drawing>
      </w:r>
      <w:r>
        <w:drawing>
          <wp:inline distT="0" distB="0" distL="0" distR="0">
            <wp:extent cx="5615940" cy="7945120"/>
            <wp:effectExtent l="0" t="0" r="381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34"/>
                    <a:stretch>
                      <a:fillRect/>
                    </a:stretch>
                  </pic:blipFill>
                  <pic:spPr>
                    <a:xfrm>
                      <a:off x="0" y="0"/>
                      <a:ext cx="5615940" cy="7945120"/>
                    </a:xfrm>
                    <a:prstGeom prst="rect">
                      <a:avLst/>
                    </a:prstGeom>
                  </pic:spPr>
                </pic:pic>
              </a:graphicData>
            </a:graphic>
          </wp:inline>
        </w:drawing>
      </w:r>
      <w:r>
        <w:drawing>
          <wp:inline distT="0" distB="0" distL="0" distR="0">
            <wp:extent cx="5615940" cy="7945120"/>
            <wp:effectExtent l="0" t="0" r="381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35"/>
                    <a:stretch>
                      <a:fillRect/>
                    </a:stretch>
                  </pic:blipFill>
                  <pic:spPr>
                    <a:xfrm>
                      <a:off x="0" y="0"/>
                      <a:ext cx="5615940" cy="7945120"/>
                    </a:xfrm>
                    <a:prstGeom prst="rect">
                      <a:avLst/>
                    </a:prstGeom>
                  </pic:spPr>
                </pic:pic>
              </a:graphicData>
            </a:graphic>
          </wp:inline>
        </w:drawing>
      </w:r>
      <w:r>
        <w:drawing>
          <wp:inline distT="0" distB="0" distL="0" distR="0">
            <wp:extent cx="5615940" cy="7945120"/>
            <wp:effectExtent l="0" t="0" r="381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36"/>
                    <a:stretch>
                      <a:fillRect/>
                    </a:stretch>
                  </pic:blipFill>
                  <pic:spPr>
                    <a:xfrm>
                      <a:off x="0" y="0"/>
                      <a:ext cx="5615940" cy="7945120"/>
                    </a:xfrm>
                    <a:prstGeom prst="rect">
                      <a:avLst/>
                    </a:prstGeom>
                  </pic:spPr>
                </pic:pic>
              </a:graphicData>
            </a:graphic>
          </wp:inline>
        </w:drawing>
      </w:r>
    </w:p>
    <w:p>
      <w:pPr>
        <w:adjustRightInd w:val="0"/>
        <w:snapToGrid w:val="0"/>
        <w:spacing w:line="360" w:lineRule="auto"/>
        <w:ind w:firstLine="422" w:firstLineChars="200"/>
        <w:rPr>
          <w:b/>
          <w:szCs w:val="21"/>
        </w:rPr>
      </w:pPr>
    </w:p>
    <w:p>
      <w:pPr>
        <w:adjustRightInd w:val="0"/>
        <w:snapToGrid w:val="0"/>
        <w:spacing w:line="360" w:lineRule="auto"/>
        <w:rPr>
          <w:b/>
          <w:sz w:val="24"/>
        </w:rPr>
      </w:pPr>
      <w:r>
        <w:drawing>
          <wp:anchor distT="0" distB="0" distL="114300" distR="114300" simplePos="0" relativeHeight="251668480" behindDoc="0" locked="0" layoutInCell="1" allowOverlap="1">
            <wp:simplePos x="0" y="0"/>
            <wp:positionH relativeFrom="column">
              <wp:posOffset>635</wp:posOffset>
            </wp:positionH>
            <wp:positionV relativeFrom="paragraph">
              <wp:posOffset>404495</wp:posOffset>
            </wp:positionV>
            <wp:extent cx="5615940" cy="7938770"/>
            <wp:effectExtent l="0" t="0" r="3810" b="5080"/>
            <wp:wrapTopAndBottom/>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37">
                      <a:extLst>
                        <a:ext uri="{28A0092B-C50C-407E-A947-70E740481C1C}">
                          <a14:useLocalDpi xmlns:a14="http://schemas.microsoft.com/office/drawing/2010/main" val="0"/>
                        </a:ext>
                      </a:extLst>
                    </a:blip>
                    <a:stretch>
                      <a:fillRect/>
                    </a:stretch>
                  </pic:blipFill>
                  <pic:spPr>
                    <a:xfrm>
                      <a:off x="0" y="0"/>
                      <a:ext cx="5615940" cy="7938770"/>
                    </a:xfrm>
                    <a:prstGeom prst="rect">
                      <a:avLst/>
                    </a:prstGeom>
                  </pic:spPr>
                </pic:pic>
              </a:graphicData>
            </a:graphic>
          </wp:anchor>
        </w:drawing>
      </w:r>
      <w:r>
        <w:rPr>
          <w:rFonts w:hint="eastAsia"/>
          <w:b/>
          <w:szCs w:val="21"/>
        </w:rPr>
        <w:t>附件二：前三批</w:t>
      </w:r>
      <w:r>
        <w:rPr>
          <w:rFonts w:hint="eastAsia"/>
          <w:b/>
          <w:sz w:val="24"/>
        </w:rPr>
        <w:t>水分、灰分、粗多糖、蛋白质含量检测报告</w:t>
      </w:r>
    </w:p>
    <w:p>
      <w:pPr>
        <w:adjustRightInd w:val="0"/>
        <w:snapToGrid w:val="0"/>
        <w:spacing w:line="360" w:lineRule="auto"/>
        <w:rPr>
          <w:b/>
          <w:sz w:val="24"/>
        </w:rPr>
      </w:pPr>
      <w:r>
        <w:drawing>
          <wp:anchor distT="0" distB="0" distL="114300" distR="114300" simplePos="0" relativeHeight="251670528" behindDoc="0" locked="0" layoutInCell="1" allowOverlap="1">
            <wp:simplePos x="0" y="0"/>
            <wp:positionH relativeFrom="column">
              <wp:posOffset>635</wp:posOffset>
            </wp:positionH>
            <wp:positionV relativeFrom="paragraph">
              <wp:posOffset>-635</wp:posOffset>
            </wp:positionV>
            <wp:extent cx="5615940" cy="7938770"/>
            <wp:effectExtent l="0" t="0" r="3810" b="5080"/>
            <wp:wrapTopAndBottom/>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0" y="0"/>
                      <a:ext cx="5615940" cy="7938770"/>
                    </a:xfrm>
                    <a:prstGeom prst="rect">
                      <a:avLst/>
                    </a:prstGeom>
                  </pic:spPr>
                </pic:pic>
              </a:graphicData>
            </a:graphic>
          </wp:anchor>
        </w:drawing>
      </w:r>
    </w:p>
    <w:p>
      <w:pPr>
        <w:adjustRightInd w:val="0"/>
        <w:snapToGrid w:val="0"/>
        <w:spacing w:line="360" w:lineRule="auto"/>
        <w:rPr>
          <w:b/>
          <w:sz w:val="24"/>
        </w:rPr>
      </w:pPr>
      <w:r>
        <w:drawing>
          <wp:inline distT="0" distB="0" distL="0" distR="0">
            <wp:extent cx="5615940" cy="7938770"/>
            <wp:effectExtent l="0" t="0" r="3810" b="508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39"/>
                    <a:stretch>
                      <a:fillRect/>
                    </a:stretch>
                  </pic:blipFill>
                  <pic:spPr>
                    <a:xfrm>
                      <a:off x="0" y="0"/>
                      <a:ext cx="5615940" cy="7938770"/>
                    </a:xfrm>
                    <a:prstGeom prst="rect">
                      <a:avLst/>
                    </a:prstGeom>
                  </pic:spPr>
                </pic:pic>
              </a:graphicData>
            </a:graphic>
          </wp:inline>
        </w:drawing>
      </w:r>
    </w:p>
    <w:p>
      <w:pPr>
        <w:spacing w:line="360" w:lineRule="auto"/>
        <w:rPr>
          <w:b/>
          <w:sz w:val="24"/>
        </w:rPr>
      </w:pPr>
    </w:p>
    <w:p>
      <w:pPr>
        <w:spacing w:line="360" w:lineRule="auto"/>
        <w:rPr>
          <w:b/>
          <w:sz w:val="24"/>
        </w:rPr>
      </w:pPr>
      <w:r>
        <w:rPr>
          <w:rFonts w:eastAsiaTheme="minorEastAsia"/>
        </w:rPr>
        <w:drawing>
          <wp:anchor distT="0" distB="0" distL="114300" distR="114300" simplePos="0" relativeHeight="251659264" behindDoc="0" locked="0" layoutInCell="1" allowOverlap="1">
            <wp:simplePos x="0" y="0"/>
            <wp:positionH relativeFrom="column">
              <wp:posOffset>446405</wp:posOffset>
            </wp:positionH>
            <wp:positionV relativeFrom="paragraph">
              <wp:posOffset>327660</wp:posOffset>
            </wp:positionV>
            <wp:extent cx="4462145" cy="7941945"/>
            <wp:effectExtent l="0" t="0" r="0" b="1905"/>
            <wp:wrapTopAndBottom/>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rot="10800000">
                      <a:off x="0" y="0"/>
                      <a:ext cx="4462145" cy="7941945"/>
                    </a:xfrm>
                    <a:prstGeom prst="rect">
                      <a:avLst/>
                    </a:prstGeom>
                  </pic:spPr>
                </pic:pic>
              </a:graphicData>
            </a:graphic>
          </wp:anchor>
        </w:drawing>
      </w:r>
      <w:r>
        <w:rPr>
          <w:rFonts w:hint="eastAsia"/>
          <w:b/>
          <w:sz w:val="24"/>
        </w:rPr>
        <w:t>附录三：3</w:t>
      </w:r>
      <w:r>
        <w:rPr>
          <w:b/>
          <w:sz w:val="24"/>
        </w:rPr>
        <w:t>5</w:t>
      </w:r>
      <w:r>
        <w:rPr>
          <w:rFonts w:hint="eastAsia"/>
          <w:b/>
          <w:sz w:val="24"/>
        </w:rPr>
        <w:t>种市售常用农药残留量检测结果</w:t>
      </w:r>
    </w:p>
    <w:p>
      <w:pPr>
        <w:spacing w:line="360" w:lineRule="auto"/>
        <w:rPr>
          <w:b/>
          <w:sz w:val="24"/>
        </w:rPr>
      </w:pPr>
      <w:r>
        <w:rPr>
          <w:rFonts w:eastAsiaTheme="minorEastAsia"/>
        </w:rPr>
        <w:drawing>
          <wp:anchor distT="0" distB="0" distL="114300" distR="114300" simplePos="0" relativeHeight="251660288" behindDoc="0" locked="0" layoutInCell="1" allowOverlap="1">
            <wp:simplePos x="0" y="0"/>
            <wp:positionH relativeFrom="column">
              <wp:posOffset>394970</wp:posOffset>
            </wp:positionH>
            <wp:positionV relativeFrom="paragraph">
              <wp:posOffset>93980</wp:posOffset>
            </wp:positionV>
            <wp:extent cx="4608195" cy="7910830"/>
            <wp:effectExtent l="0" t="0" r="1905" b="0"/>
            <wp:wrapTopAndBottom/>
            <wp:docPr id="77824" name="图片 77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24" name="图片 77824"/>
                    <pic:cNvPicPr>
                      <a:picLocks noChangeAspect="1"/>
                    </pic:cNvPicPr>
                  </pic:nvPicPr>
                  <pic:blipFill>
                    <a:blip r:embed="rId41">
                      <a:extLst>
                        <a:ext uri="{28A0092B-C50C-407E-A947-70E740481C1C}">
                          <a14:useLocalDpi xmlns:a14="http://schemas.microsoft.com/office/drawing/2010/main" val="0"/>
                        </a:ext>
                      </a:extLst>
                    </a:blip>
                    <a:stretch>
                      <a:fillRect/>
                    </a:stretch>
                  </pic:blipFill>
                  <pic:spPr>
                    <a:xfrm rot="10800000">
                      <a:off x="0" y="0"/>
                      <a:ext cx="4608195" cy="7910830"/>
                    </a:xfrm>
                    <a:prstGeom prst="rect">
                      <a:avLst/>
                    </a:prstGeom>
                  </pic:spPr>
                </pic:pic>
              </a:graphicData>
            </a:graphic>
          </wp:anchor>
        </w:drawing>
      </w:r>
    </w:p>
    <w:p>
      <w:pPr>
        <w:spacing w:line="360" w:lineRule="auto"/>
        <w:rPr>
          <w:b/>
          <w:sz w:val="24"/>
        </w:rPr>
      </w:pPr>
      <w:r>
        <w:rPr>
          <w:rFonts w:eastAsiaTheme="minorEastAsia"/>
        </w:rPr>
        <w:drawing>
          <wp:anchor distT="0" distB="0" distL="114300" distR="114300" simplePos="0" relativeHeight="251660288" behindDoc="1" locked="0" layoutInCell="1" allowOverlap="1">
            <wp:simplePos x="0" y="0"/>
            <wp:positionH relativeFrom="column">
              <wp:posOffset>571500</wp:posOffset>
            </wp:positionH>
            <wp:positionV relativeFrom="paragraph">
              <wp:posOffset>174625</wp:posOffset>
            </wp:positionV>
            <wp:extent cx="4523105" cy="7888605"/>
            <wp:effectExtent l="0" t="0" r="0" b="0"/>
            <wp:wrapTopAndBottom/>
            <wp:docPr id="77825" name="图片 77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25" name="图片 77825"/>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rot="10800000">
                      <a:off x="0" y="0"/>
                      <a:ext cx="4523105" cy="7888605"/>
                    </a:xfrm>
                    <a:prstGeom prst="rect">
                      <a:avLst/>
                    </a:prstGeom>
                  </pic:spPr>
                </pic:pic>
              </a:graphicData>
            </a:graphic>
          </wp:anchor>
        </w:drawing>
      </w:r>
    </w:p>
    <w:p>
      <w:pPr>
        <w:adjustRightInd w:val="0"/>
        <w:snapToGrid w:val="0"/>
        <w:spacing w:line="360" w:lineRule="auto"/>
        <w:rPr>
          <w:b/>
          <w:sz w:val="24"/>
        </w:rPr>
      </w:pPr>
      <w:r>
        <w:rPr>
          <w:rFonts w:eastAsiaTheme="minorEastAsia"/>
        </w:rPr>
        <w:drawing>
          <wp:anchor distT="0" distB="0" distL="114300" distR="114300" simplePos="0" relativeHeight="251665408" behindDoc="0" locked="0" layoutInCell="1" allowOverlap="1">
            <wp:simplePos x="0" y="0"/>
            <wp:positionH relativeFrom="column">
              <wp:posOffset>110490</wp:posOffset>
            </wp:positionH>
            <wp:positionV relativeFrom="paragraph">
              <wp:posOffset>415925</wp:posOffset>
            </wp:positionV>
            <wp:extent cx="5438140" cy="4659630"/>
            <wp:effectExtent l="0" t="0" r="0" b="7620"/>
            <wp:wrapTopAndBottom/>
            <wp:docPr id="77826" name="图片 77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26" name="图片 77826"/>
                    <pic:cNvPicPr>
                      <a:picLocks noChangeAspect="1"/>
                    </pic:cNvPicPr>
                  </pic:nvPicPr>
                  <pic:blipFill>
                    <a:blip r:embed="rId43">
                      <a:extLst>
                        <a:ext uri="{28A0092B-C50C-407E-A947-70E740481C1C}">
                          <a14:useLocalDpi xmlns:a14="http://schemas.microsoft.com/office/drawing/2010/main" val="0"/>
                        </a:ext>
                      </a:extLst>
                    </a:blip>
                    <a:stretch>
                      <a:fillRect/>
                    </a:stretch>
                  </pic:blipFill>
                  <pic:spPr>
                    <a:xfrm>
                      <a:off x="0" y="0"/>
                      <a:ext cx="5438140" cy="4659630"/>
                    </a:xfrm>
                    <a:prstGeom prst="rect">
                      <a:avLst/>
                    </a:prstGeom>
                  </pic:spPr>
                </pic:pic>
              </a:graphicData>
            </a:graphic>
          </wp:anchor>
        </w:drawing>
      </w:r>
      <w:r>
        <w:rPr>
          <w:rFonts w:hint="eastAsia"/>
          <w:b/>
          <w:sz w:val="24"/>
        </w:rPr>
        <w:t>附录四：3</w:t>
      </w:r>
      <w:r>
        <w:rPr>
          <w:b/>
          <w:sz w:val="24"/>
        </w:rPr>
        <w:t>3</w:t>
      </w:r>
      <w:r>
        <w:rPr>
          <w:rFonts w:hint="eastAsia"/>
          <w:b/>
          <w:sz w:val="24"/>
        </w:rPr>
        <w:t>种金属或类金属以及1</w:t>
      </w:r>
      <w:r>
        <w:rPr>
          <w:b/>
          <w:sz w:val="24"/>
        </w:rPr>
        <w:t>6</w:t>
      </w:r>
      <w:r>
        <w:rPr>
          <w:rFonts w:hint="eastAsia"/>
          <w:b/>
          <w:sz w:val="24"/>
        </w:rPr>
        <w:t>种稀土元素监测筛查结果</w:t>
      </w:r>
    </w:p>
    <w:p>
      <w:pPr>
        <w:spacing w:line="360" w:lineRule="auto"/>
        <w:rPr>
          <w:b/>
          <w:sz w:val="24"/>
        </w:rPr>
      </w:pPr>
    </w:p>
    <w:p>
      <w:pPr>
        <w:spacing w:line="360" w:lineRule="auto"/>
        <w:rPr>
          <w:b/>
          <w:sz w:val="24"/>
        </w:rPr>
      </w:pPr>
      <w:r>
        <w:rPr>
          <w:rFonts w:eastAsiaTheme="minorEastAsia"/>
        </w:rPr>
        <w:drawing>
          <wp:anchor distT="0" distB="0" distL="114300" distR="114300" simplePos="0" relativeHeight="251661312" behindDoc="1" locked="0" layoutInCell="1" allowOverlap="1">
            <wp:simplePos x="0" y="0"/>
            <wp:positionH relativeFrom="column">
              <wp:posOffset>293370</wp:posOffset>
            </wp:positionH>
            <wp:positionV relativeFrom="paragraph">
              <wp:posOffset>4073525</wp:posOffset>
            </wp:positionV>
            <wp:extent cx="4952365" cy="4074160"/>
            <wp:effectExtent l="0" t="0" r="635" b="2540"/>
            <wp:wrapTopAndBottom/>
            <wp:docPr id="77829" name="图片 77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29" name="图片 77829"/>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0" y="0"/>
                      <a:ext cx="4952365" cy="4074160"/>
                    </a:xfrm>
                    <a:prstGeom prst="rect">
                      <a:avLst/>
                    </a:prstGeom>
                  </pic:spPr>
                </pic:pic>
              </a:graphicData>
            </a:graphic>
          </wp:anchor>
        </w:drawing>
      </w:r>
      <w:r>
        <w:rPr>
          <w:rFonts w:eastAsiaTheme="minorEastAsia"/>
        </w:rPr>
        <w:drawing>
          <wp:anchor distT="0" distB="0" distL="114300" distR="114300" simplePos="0" relativeHeight="251664384" behindDoc="0" locked="0" layoutInCell="1" allowOverlap="1">
            <wp:simplePos x="0" y="0"/>
            <wp:positionH relativeFrom="column">
              <wp:posOffset>314960</wp:posOffset>
            </wp:positionH>
            <wp:positionV relativeFrom="paragraph">
              <wp:posOffset>-1270</wp:posOffset>
            </wp:positionV>
            <wp:extent cx="4975860" cy="3905885"/>
            <wp:effectExtent l="0" t="0" r="0" b="0"/>
            <wp:wrapTopAndBottom/>
            <wp:docPr id="77828" name="图片 77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28" name="图片 77828"/>
                    <pic:cNvPicPr>
                      <a:picLocks noChangeAspect="1"/>
                    </pic:cNvPicPr>
                  </pic:nvPicPr>
                  <pic:blipFill>
                    <a:blip r:embed="rId45">
                      <a:extLst>
                        <a:ext uri="{28A0092B-C50C-407E-A947-70E740481C1C}">
                          <a14:useLocalDpi xmlns:a14="http://schemas.microsoft.com/office/drawing/2010/main" val="0"/>
                        </a:ext>
                      </a:extLst>
                    </a:blip>
                    <a:stretch>
                      <a:fillRect/>
                    </a:stretch>
                  </pic:blipFill>
                  <pic:spPr>
                    <a:xfrm>
                      <a:off x="0" y="0"/>
                      <a:ext cx="4975860" cy="3905885"/>
                    </a:xfrm>
                    <a:prstGeom prst="rect">
                      <a:avLst/>
                    </a:prstGeom>
                  </pic:spPr>
                </pic:pic>
              </a:graphicData>
            </a:graphic>
          </wp:anchor>
        </w:drawing>
      </w:r>
    </w:p>
    <w:p>
      <w:pPr>
        <w:spacing w:line="360" w:lineRule="auto"/>
        <w:rPr>
          <w:b/>
          <w:sz w:val="24"/>
        </w:rPr>
      </w:pPr>
      <w:r>
        <w:rPr>
          <w:rFonts w:eastAsiaTheme="minorEastAsia"/>
          <w:b/>
        </w:rPr>
        <w:drawing>
          <wp:anchor distT="0" distB="0" distL="114300" distR="114300" simplePos="0" relativeHeight="251667456" behindDoc="1" locked="0" layoutInCell="1" allowOverlap="1">
            <wp:simplePos x="0" y="0"/>
            <wp:positionH relativeFrom="column">
              <wp:posOffset>307975</wp:posOffset>
            </wp:positionH>
            <wp:positionV relativeFrom="paragraph">
              <wp:posOffset>3810000</wp:posOffset>
            </wp:positionV>
            <wp:extent cx="2980055" cy="4373880"/>
            <wp:effectExtent l="0" t="0" r="0" b="7620"/>
            <wp:wrapTopAndBottom/>
            <wp:docPr id="77831" name="图片 77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31" name="图片 77831"/>
                    <pic:cNvPicPr>
                      <a:picLocks noChangeAspect="1"/>
                    </pic:cNvPicPr>
                  </pic:nvPicPr>
                  <pic:blipFill>
                    <a:blip r:embed="rId46">
                      <a:extLst>
                        <a:ext uri="{28A0092B-C50C-407E-A947-70E740481C1C}">
                          <a14:useLocalDpi xmlns:a14="http://schemas.microsoft.com/office/drawing/2010/main" val="0"/>
                        </a:ext>
                      </a:extLst>
                    </a:blip>
                    <a:stretch>
                      <a:fillRect/>
                    </a:stretch>
                  </pic:blipFill>
                  <pic:spPr>
                    <a:xfrm>
                      <a:off x="0" y="0"/>
                      <a:ext cx="2980055" cy="4373880"/>
                    </a:xfrm>
                    <a:prstGeom prst="rect">
                      <a:avLst/>
                    </a:prstGeom>
                  </pic:spPr>
                </pic:pic>
              </a:graphicData>
            </a:graphic>
          </wp:anchor>
        </w:drawing>
      </w:r>
      <w:r>
        <w:rPr>
          <w:rFonts w:eastAsiaTheme="minorEastAsia"/>
        </w:rPr>
        <w:drawing>
          <wp:anchor distT="0" distB="0" distL="114300" distR="114300" simplePos="0" relativeHeight="251666432" behindDoc="0" locked="0" layoutInCell="1" allowOverlap="1">
            <wp:simplePos x="0" y="0"/>
            <wp:positionH relativeFrom="column">
              <wp:posOffset>330200</wp:posOffset>
            </wp:positionH>
            <wp:positionV relativeFrom="paragraph">
              <wp:posOffset>-1270</wp:posOffset>
            </wp:positionV>
            <wp:extent cx="4871720" cy="3824605"/>
            <wp:effectExtent l="0" t="0" r="5080" b="4445"/>
            <wp:wrapTopAndBottom/>
            <wp:docPr id="77830" name="图片 77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30" name="图片 77830"/>
                    <pic:cNvPicPr>
                      <a:picLocks noChangeAspect="1"/>
                    </pic:cNvPicPr>
                  </pic:nvPicPr>
                  <pic:blipFill>
                    <a:blip r:embed="rId47">
                      <a:extLst>
                        <a:ext uri="{28A0092B-C50C-407E-A947-70E740481C1C}">
                          <a14:useLocalDpi xmlns:a14="http://schemas.microsoft.com/office/drawing/2010/main" val="0"/>
                        </a:ext>
                      </a:extLst>
                    </a:blip>
                    <a:stretch>
                      <a:fillRect/>
                    </a:stretch>
                  </pic:blipFill>
                  <pic:spPr>
                    <a:xfrm>
                      <a:off x="0" y="0"/>
                      <a:ext cx="4871720" cy="3824605"/>
                    </a:xfrm>
                    <a:prstGeom prst="rect">
                      <a:avLst/>
                    </a:prstGeom>
                  </pic:spPr>
                </pic:pic>
              </a:graphicData>
            </a:graphic>
          </wp:anchor>
        </w:drawing>
      </w:r>
    </w:p>
    <w:p>
      <w:pPr>
        <w:spacing w:line="360" w:lineRule="auto"/>
        <w:rPr>
          <w:b/>
          <w:sz w:val="24"/>
        </w:rPr>
      </w:pPr>
    </w:p>
    <w:sectPr>
      <w:footerReference r:id="rId3" w:type="default"/>
      <w:pgSz w:w="11906" w:h="16838"/>
      <w:pgMar w:top="2098" w:right="1474" w:bottom="1440" w:left="1588" w:header="851" w:footer="1304" w:gutter="0"/>
      <w:cols w:space="720" w:num="1"/>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等线 Light">
    <w:altName w:val="宋体"/>
    <w:panose1 w:val="02010600030101010101"/>
    <w:charset w:val="86"/>
    <w:family w:val="auto"/>
    <w:pitch w:val="default"/>
    <w:sig w:usb0="00000000" w:usb1="00000000" w:usb2="00000016" w:usb3="00000000" w:csb0="0004000F" w:csb1="00000000"/>
  </w:font>
  <w:font w:name="E-BZ">
    <w:altName w:val="Times New Roman"/>
    <w:panose1 w:val="00000000000000000000"/>
    <w:charset w:val="00"/>
    <w:family w:val="roman"/>
    <w:pitch w:val="default"/>
    <w:sig w:usb0="00000000" w:usb1="00000000" w:usb2="00000000" w:usb3="00000000" w:csb0="00000000" w:csb1="00000000"/>
  </w:font>
  <w:font w:name="E-FZ">
    <w:altName w:val="Times New Roman"/>
    <w:panose1 w:val="00000000000000000000"/>
    <w:charset w:val="00"/>
    <w:family w:val="roman"/>
    <w:pitch w:val="default"/>
    <w:sig w:usb0="00000000" w:usb1="00000000" w:usb2="00000000" w:usb3="00000000" w:csb0="00000000" w:csb1="00000000"/>
  </w:font>
  <w:font w:name="方正小标宋简体">
    <w:panose1 w:val="02000000000000000000"/>
    <w:charset w:val="86"/>
    <w:family w:val="script"/>
    <w:pitch w:val="default"/>
    <w:sig w:usb0="00000001" w:usb1="080E0000" w:usb2="00000000" w:usb3="00000000" w:csb0="00040000" w:csb1="00000000"/>
  </w:font>
  <w:font w:name="楷体">
    <w:panose1 w:val="02010609060101010101"/>
    <w:charset w:val="86"/>
    <w:family w:val="modern"/>
    <w:pitch w:val="default"/>
    <w:sig w:usb0="800002BF" w:usb1="38CF7CFA" w:usb2="00000016" w:usb3="00000000" w:csb0="00040001" w:csb1="00000000"/>
  </w:font>
  <w:font w:name="FZSSK--GBK1-0">
    <w:altName w:val="Times New Roman"/>
    <w:panose1 w:val="00000000000000000000"/>
    <w:charset w:val="00"/>
    <w:family w:val="roman"/>
    <w:pitch w:val="default"/>
    <w:sig w:usb0="00000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framePr w:w="1548" w:wrap="around" w:vAnchor="text" w:hAnchor="margin" w:xAlign="outside" w:y="1" w:anchorLock="1"/>
      <w:rPr>
        <w:rStyle w:val="9"/>
        <w:sz w:val="21"/>
        <w:szCs w:val="21"/>
      </w:rPr>
    </w:pPr>
    <w:r>
      <w:rPr>
        <w:rStyle w:val="9"/>
        <w:rFonts w:ascii="宋体"/>
        <w:sz w:val="28"/>
        <w:szCs w:val="28"/>
      </w:rPr>
      <w:t xml:space="preserve">  </w:t>
    </w:r>
    <w:r>
      <w:rPr>
        <w:rStyle w:val="9"/>
        <w:sz w:val="21"/>
        <w:szCs w:val="21"/>
      </w:rPr>
      <w:t xml:space="preserve">－ </w:t>
    </w:r>
    <w:r>
      <w:rPr>
        <w:sz w:val="21"/>
        <w:szCs w:val="21"/>
      </w:rPr>
      <w:fldChar w:fldCharType="begin"/>
    </w:r>
    <w:r>
      <w:rPr>
        <w:rStyle w:val="9"/>
        <w:sz w:val="21"/>
        <w:szCs w:val="21"/>
      </w:rPr>
      <w:instrText xml:space="preserve">PAGE  </w:instrText>
    </w:r>
    <w:r>
      <w:rPr>
        <w:sz w:val="21"/>
        <w:szCs w:val="21"/>
      </w:rPr>
      <w:fldChar w:fldCharType="separate"/>
    </w:r>
    <w:r>
      <w:rPr>
        <w:rStyle w:val="9"/>
        <w:sz w:val="21"/>
        <w:szCs w:val="21"/>
      </w:rPr>
      <w:t>8</w:t>
    </w:r>
    <w:r>
      <w:rPr>
        <w:sz w:val="21"/>
        <w:szCs w:val="21"/>
      </w:rPr>
      <w:fldChar w:fldCharType="end"/>
    </w:r>
    <w:r>
      <w:rPr>
        <w:rStyle w:val="9"/>
        <w:sz w:val="21"/>
        <w:szCs w:val="21"/>
      </w:rPr>
      <w:t xml:space="preserve"> －</w:t>
    </w:r>
  </w:p>
  <w:p>
    <w:pPr>
      <w:pStyle w:val="3"/>
      <w:jc w:val="right"/>
      <w:rPr>
        <w:sz w:val="32"/>
        <w:szCs w:val="32"/>
      </w:rPr>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FC91163"/>
    <w:multiLevelType w:val="multilevel"/>
    <w:tmpl w:val="1FC91163"/>
    <w:lvl w:ilvl="0" w:tentative="0">
      <w:start w:val="1"/>
      <w:numFmt w:val="decimal"/>
      <w:pStyle w:val="17"/>
      <w:suff w:val="nothing"/>
      <w:lvlText w:val="%1　"/>
      <w:lvlJc w:val="left"/>
      <w:pPr>
        <w:ind w:left="0" w:firstLine="0"/>
      </w:pPr>
      <w:rPr>
        <w:rFonts w:hint="eastAsia" w:ascii="黑体" w:hAnsi="Times New Roman" w:eastAsia="黑体"/>
        <w:b w:val="0"/>
        <w:i w:val="0"/>
        <w:sz w:val="21"/>
        <w:szCs w:val="21"/>
      </w:rPr>
    </w:lvl>
    <w:lvl w:ilvl="1" w:tentative="0">
      <w:start w:val="1"/>
      <w:numFmt w:val="decimal"/>
      <w:pStyle w:val="10"/>
      <w:suff w:val="nothing"/>
      <w:lvlText w:val="%1.%2　"/>
      <w:lvlJc w:val="left"/>
      <w:pPr>
        <w:ind w:left="710" w:firstLine="0"/>
      </w:pPr>
      <w:rPr>
        <w:rFonts w:hint="eastAsia" w:ascii="黑体" w:hAnsi="Times New Roman" w:eastAsia="黑体" w:cs="Times New Roman"/>
        <w:b w:val="0"/>
        <w:bCs w:val="0"/>
        <w:i w:val="0"/>
        <w:iCs w:val="0"/>
        <w:caps w:val="0"/>
        <w:strike w:val="0"/>
        <w:dstrike w:val="0"/>
        <w:vanish w:val="0"/>
        <w:spacing w:val="0"/>
        <w:kern w:val="0"/>
        <w:position w:val="0"/>
        <w:sz w:val="21"/>
        <w:szCs w:val="21"/>
        <w:u w:val="none"/>
        <w:vertAlign w:val="baseline"/>
      </w:rPr>
    </w:lvl>
    <w:lvl w:ilvl="2" w:tentative="0">
      <w:start w:val="1"/>
      <w:numFmt w:val="decimal"/>
      <w:suff w:val="nothing"/>
      <w:lvlText w:val="%1.%2.%3　"/>
      <w:lvlJc w:val="left"/>
      <w:pPr>
        <w:ind w:left="426" w:firstLine="0"/>
      </w:pPr>
      <w:rPr>
        <w:rFonts w:hint="eastAsia" w:ascii="黑体" w:hAnsi="Times New Roman" w:eastAsia="黑体"/>
        <w:b w:val="0"/>
        <w:i w:val="0"/>
        <w:sz w:val="21"/>
      </w:rPr>
    </w:lvl>
    <w:lvl w:ilvl="3" w:tentative="0">
      <w:start w:val="1"/>
      <w:numFmt w:val="decimal"/>
      <w:suff w:val="nothing"/>
      <w:lvlText w:val="%1.%2.%3.%4　"/>
      <w:lvlJc w:val="left"/>
      <w:pPr>
        <w:ind w:left="0" w:firstLine="0"/>
      </w:pPr>
      <w:rPr>
        <w:rFonts w:hint="eastAsia" w:ascii="黑体" w:hAnsi="Times New Roman" w:eastAsia="黑体"/>
        <w:b w:val="0"/>
        <w:i w:val="0"/>
        <w:sz w:val="21"/>
      </w:rPr>
    </w:lvl>
    <w:lvl w:ilvl="4" w:tentative="0">
      <w:start w:val="1"/>
      <w:numFmt w:val="decimal"/>
      <w:suff w:val="nothing"/>
      <w:lvlText w:val="%1.%2.%3.%4.%5　"/>
      <w:lvlJc w:val="left"/>
      <w:pPr>
        <w:ind w:left="0" w:firstLine="0"/>
      </w:pPr>
      <w:rPr>
        <w:rFonts w:hint="eastAsia" w:ascii="黑体" w:hAnsi="Times New Roman" w:eastAsia="黑体"/>
        <w:b w:val="0"/>
        <w:i w:val="0"/>
        <w:sz w:val="21"/>
      </w:rPr>
    </w:lvl>
    <w:lvl w:ilvl="5" w:tentative="0">
      <w:start w:val="1"/>
      <w:numFmt w:val="decimal"/>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NotDisplayPageBoundaries w:val="1"/>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jFjMmRhMDg4Zjc5MTE5NmNmZjI1M2UyN2Q2YzA0MGYifQ=="/>
  </w:docVars>
  <w:rsids>
    <w:rsidRoot w:val="00247DD4"/>
    <w:rsid w:val="000143A1"/>
    <w:rsid w:val="00026951"/>
    <w:rsid w:val="00031344"/>
    <w:rsid w:val="000339AA"/>
    <w:rsid w:val="00041A24"/>
    <w:rsid w:val="00046316"/>
    <w:rsid w:val="00046451"/>
    <w:rsid w:val="00052CC1"/>
    <w:rsid w:val="00065C2E"/>
    <w:rsid w:val="000663D2"/>
    <w:rsid w:val="00077FBC"/>
    <w:rsid w:val="00083EB7"/>
    <w:rsid w:val="000863A5"/>
    <w:rsid w:val="00090591"/>
    <w:rsid w:val="000B7BA8"/>
    <w:rsid w:val="000D4DB5"/>
    <w:rsid w:val="00105636"/>
    <w:rsid w:val="00106958"/>
    <w:rsid w:val="00122D0F"/>
    <w:rsid w:val="00126FFD"/>
    <w:rsid w:val="00137768"/>
    <w:rsid w:val="00145605"/>
    <w:rsid w:val="00172C0B"/>
    <w:rsid w:val="00185D60"/>
    <w:rsid w:val="001875A4"/>
    <w:rsid w:val="0019437B"/>
    <w:rsid w:val="001A23FA"/>
    <w:rsid w:val="001D109C"/>
    <w:rsid w:val="001D3CA1"/>
    <w:rsid w:val="001D73F6"/>
    <w:rsid w:val="00200A14"/>
    <w:rsid w:val="002231D0"/>
    <w:rsid w:val="00223E95"/>
    <w:rsid w:val="002414E8"/>
    <w:rsid w:val="00244FBA"/>
    <w:rsid w:val="0024676A"/>
    <w:rsid w:val="00247DD4"/>
    <w:rsid w:val="00260708"/>
    <w:rsid w:val="00271B5E"/>
    <w:rsid w:val="00275050"/>
    <w:rsid w:val="002A2AC3"/>
    <w:rsid w:val="002B04C4"/>
    <w:rsid w:val="002B4791"/>
    <w:rsid w:val="002C42E4"/>
    <w:rsid w:val="002D1970"/>
    <w:rsid w:val="002E581F"/>
    <w:rsid w:val="00310D1A"/>
    <w:rsid w:val="00317FD0"/>
    <w:rsid w:val="00332D66"/>
    <w:rsid w:val="0034377D"/>
    <w:rsid w:val="0035250F"/>
    <w:rsid w:val="0036054D"/>
    <w:rsid w:val="003731AA"/>
    <w:rsid w:val="0037688C"/>
    <w:rsid w:val="00386034"/>
    <w:rsid w:val="00392FAF"/>
    <w:rsid w:val="003A57A0"/>
    <w:rsid w:val="003A6403"/>
    <w:rsid w:val="003D06E1"/>
    <w:rsid w:val="003D236E"/>
    <w:rsid w:val="003E22D2"/>
    <w:rsid w:val="003E34AE"/>
    <w:rsid w:val="003F7E19"/>
    <w:rsid w:val="00402FB2"/>
    <w:rsid w:val="004354C6"/>
    <w:rsid w:val="0045534A"/>
    <w:rsid w:val="00494E39"/>
    <w:rsid w:val="004A5E05"/>
    <w:rsid w:val="004B04FA"/>
    <w:rsid w:val="004B09BB"/>
    <w:rsid w:val="004E16B7"/>
    <w:rsid w:val="00523FC8"/>
    <w:rsid w:val="00551F0A"/>
    <w:rsid w:val="00554705"/>
    <w:rsid w:val="005610DA"/>
    <w:rsid w:val="0056603E"/>
    <w:rsid w:val="005674AC"/>
    <w:rsid w:val="00570914"/>
    <w:rsid w:val="00592D43"/>
    <w:rsid w:val="0059581C"/>
    <w:rsid w:val="005A5335"/>
    <w:rsid w:val="005C0862"/>
    <w:rsid w:val="005C11E5"/>
    <w:rsid w:val="005C788D"/>
    <w:rsid w:val="005D0691"/>
    <w:rsid w:val="005D4C0A"/>
    <w:rsid w:val="005E010F"/>
    <w:rsid w:val="005E6029"/>
    <w:rsid w:val="00604E9E"/>
    <w:rsid w:val="006477C0"/>
    <w:rsid w:val="0065029A"/>
    <w:rsid w:val="00670C2B"/>
    <w:rsid w:val="00675E99"/>
    <w:rsid w:val="00684371"/>
    <w:rsid w:val="00696969"/>
    <w:rsid w:val="006A350A"/>
    <w:rsid w:val="006B2F67"/>
    <w:rsid w:val="006B4E15"/>
    <w:rsid w:val="006C6560"/>
    <w:rsid w:val="006E6947"/>
    <w:rsid w:val="006F7482"/>
    <w:rsid w:val="0071034B"/>
    <w:rsid w:val="00715E41"/>
    <w:rsid w:val="007215D5"/>
    <w:rsid w:val="007246D1"/>
    <w:rsid w:val="007252E0"/>
    <w:rsid w:val="0072592D"/>
    <w:rsid w:val="00740923"/>
    <w:rsid w:val="00743422"/>
    <w:rsid w:val="00747263"/>
    <w:rsid w:val="00763C9E"/>
    <w:rsid w:val="00785799"/>
    <w:rsid w:val="00791A82"/>
    <w:rsid w:val="007A3FD4"/>
    <w:rsid w:val="007A63DE"/>
    <w:rsid w:val="007B0B3A"/>
    <w:rsid w:val="007B1620"/>
    <w:rsid w:val="007B33FA"/>
    <w:rsid w:val="007B5100"/>
    <w:rsid w:val="007C2814"/>
    <w:rsid w:val="007C3B5D"/>
    <w:rsid w:val="007D64BC"/>
    <w:rsid w:val="007E2633"/>
    <w:rsid w:val="007F12F5"/>
    <w:rsid w:val="0080327A"/>
    <w:rsid w:val="00811DB6"/>
    <w:rsid w:val="008272F1"/>
    <w:rsid w:val="00853C3A"/>
    <w:rsid w:val="0086211C"/>
    <w:rsid w:val="00876DDE"/>
    <w:rsid w:val="008830D4"/>
    <w:rsid w:val="008B6A89"/>
    <w:rsid w:val="008C1238"/>
    <w:rsid w:val="008E24A8"/>
    <w:rsid w:val="008E40F8"/>
    <w:rsid w:val="008F2374"/>
    <w:rsid w:val="009242FE"/>
    <w:rsid w:val="009312ED"/>
    <w:rsid w:val="009479C9"/>
    <w:rsid w:val="00947A00"/>
    <w:rsid w:val="00963232"/>
    <w:rsid w:val="009636AB"/>
    <w:rsid w:val="009837D4"/>
    <w:rsid w:val="00983BE5"/>
    <w:rsid w:val="00990FCE"/>
    <w:rsid w:val="00995439"/>
    <w:rsid w:val="00997F58"/>
    <w:rsid w:val="009A44F0"/>
    <w:rsid w:val="009B07A4"/>
    <w:rsid w:val="009E74C6"/>
    <w:rsid w:val="00A172F6"/>
    <w:rsid w:val="00A66FE4"/>
    <w:rsid w:val="00A84BE0"/>
    <w:rsid w:val="00A8742A"/>
    <w:rsid w:val="00A95A3D"/>
    <w:rsid w:val="00AA1E1A"/>
    <w:rsid w:val="00AA37C1"/>
    <w:rsid w:val="00AB585B"/>
    <w:rsid w:val="00AD55B4"/>
    <w:rsid w:val="00AE0DDC"/>
    <w:rsid w:val="00AE6B56"/>
    <w:rsid w:val="00B132FC"/>
    <w:rsid w:val="00B501A1"/>
    <w:rsid w:val="00B5163B"/>
    <w:rsid w:val="00B51886"/>
    <w:rsid w:val="00B62F32"/>
    <w:rsid w:val="00B673F2"/>
    <w:rsid w:val="00B80FBF"/>
    <w:rsid w:val="00B86523"/>
    <w:rsid w:val="00B94804"/>
    <w:rsid w:val="00BA3543"/>
    <w:rsid w:val="00BA3815"/>
    <w:rsid w:val="00C17CD7"/>
    <w:rsid w:val="00C17D8D"/>
    <w:rsid w:val="00C25CB5"/>
    <w:rsid w:val="00C37446"/>
    <w:rsid w:val="00C40473"/>
    <w:rsid w:val="00C43274"/>
    <w:rsid w:val="00C60CCB"/>
    <w:rsid w:val="00C72E7E"/>
    <w:rsid w:val="00C80961"/>
    <w:rsid w:val="00C86220"/>
    <w:rsid w:val="00CB1184"/>
    <w:rsid w:val="00CB753A"/>
    <w:rsid w:val="00CD0086"/>
    <w:rsid w:val="00D055D1"/>
    <w:rsid w:val="00D110B5"/>
    <w:rsid w:val="00D2048F"/>
    <w:rsid w:val="00D22F53"/>
    <w:rsid w:val="00D46F7E"/>
    <w:rsid w:val="00D6073C"/>
    <w:rsid w:val="00D70909"/>
    <w:rsid w:val="00D73ADD"/>
    <w:rsid w:val="00D9040A"/>
    <w:rsid w:val="00DA2264"/>
    <w:rsid w:val="00DB334D"/>
    <w:rsid w:val="00DD2E97"/>
    <w:rsid w:val="00DD6833"/>
    <w:rsid w:val="00DE5F17"/>
    <w:rsid w:val="00DE6821"/>
    <w:rsid w:val="00E072FA"/>
    <w:rsid w:val="00E20144"/>
    <w:rsid w:val="00E2119B"/>
    <w:rsid w:val="00E21DBC"/>
    <w:rsid w:val="00E361BD"/>
    <w:rsid w:val="00E41B34"/>
    <w:rsid w:val="00E5126B"/>
    <w:rsid w:val="00E606A8"/>
    <w:rsid w:val="00E61803"/>
    <w:rsid w:val="00E706AC"/>
    <w:rsid w:val="00E7495F"/>
    <w:rsid w:val="00E80C39"/>
    <w:rsid w:val="00E8371A"/>
    <w:rsid w:val="00E969CC"/>
    <w:rsid w:val="00EA360C"/>
    <w:rsid w:val="00EB1516"/>
    <w:rsid w:val="00EB1DA7"/>
    <w:rsid w:val="00EC2575"/>
    <w:rsid w:val="00EC4F90"/>
    <w:rsid w:val="00F02199"/>
    <w:rsid w:val="00F0649F"/>
    <w:rsid w:val="00F07EE6"/>
    <w:rsid w:val="00F10845"/>
    <w:rsid w:val="00F15E5D"/>
    <w:rsid w:val="00F2551F"/>
    <w:rsid w:val="00F4041A"/>
    <w:rsid w:val="00F609F7"/>
    <w:rsid w:val="00F643E9"/>
    <w:rsid w:val="00F65EC0"/>
    <w:rsid w:val="00F67FA7"/>
    <w:rsid w:val="00FB3B8B"/>
    <w:rsid w:val="00FC0260"/>
    <w:rsid w:val="00FC0BBF"/>
    <w:rsid w:val="00FC6CC0"/>
    <w:rsid w:val="00FE0A39"/>
    <w:rsid w:val="00FF4E42"/>
    <w:rsid w:val="02687F5D"/>
    <w:rsid w:val="05D34110"/>
    <w:rsid w:val="12A437B9"/>
    <w:rsid w:val="17256DA4"/>
    <w:rsid w:val="1BE31F13"/>
    <w:rsid w:val="21194D20"/>
    <w:rsid w:val="28595AC0"/>
    <w:rsid w:val="30314997"/>
    <w:rsid w:val="35452A33"/>
    <w:rsid w:val="36A9667E"/>
    <w:rsid w:val="39BB190A"/>
    <w:rsid w:val="3A9F77D7"/>
    <w:rsid w:val="3E037132"/>
    <w:rsid w:val="509A17C1"/>
    <w:rsid w:val="52450238"/>
    <w:rsid w:val="53854D23"/>
    <w:rsid w:val="53F0294A"/>
    <w:rsid w:val="575A7C1E"/>
    <w:rsid w:val="5B683605"/>
    <w:rsid w:val="5D7101AC"/>
    <w:rsid w:val="5FB52276"/>
    <w:rsid w:val="653B2E18"/>
    <w:rsid w:val="65911BD5"/>
    <w:rsid w:val="6A550134"/>
    <w:rsid w:val="7391758F"/>
    <w:rsid w:val="751506D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uiPriority="0" w:name="toc 1"/>
    <w:lsdException w:uiPriority="0" w:name="toc 2"/>
    <w:lsdException w:uiPriority="0" w:name="toc 3"/>
    <w:lsdException w:uiPriority="0" w:name="toc 4"/>
    <w:lsdException w:uiPriority="0" w:name="toc 5"/>
    <w:lsdException w:uiPriority="0" w:name="toc 6"/>
    <w:lsdException w:uiPriority="0" w:name="toc 7"/>
    <w:lsdException w:uiPriority="0" w:name="toc 8"/>
    <w:lsdException w:uiPriority="0" w:name="toc 9"/>
    <w:lsdException w:uiPriority="0" w:name="Normal Indent"/>
    <w:lsdException w:uiPriority="0" w:name="footnote text"/>
    <w:lsdException w:uiPriority="0" w:name="annotation text"/>
    <w:lsdException w:unhideWhenUsed="0" w:uiPriority="0" w:semiHidden="0" w:name="header"/>
    <w:lsdException w:qFormat="1" w:unhideWhenUsed="0" w:uiPriority="0"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uiPriority="0" w:name="footnote reference"/>
    <w:lsdException w:uiPriority="0" w:name="annotation reference"/>
    <w:lsdException w:uiPriority="0" w:name="line number"/>
    <w:lsdException w:qFormat="1" w:unhideWhenUsed="0" w:uiPriority="0" w:semiHidden="0" w:name="page number"/>
    <w:lsdException w:uiPriority="0" w:name="endnote reference"/>
    <w:lsdException w:uiPriority="0" w:name="endnote text"/>
    <w:lsdException w:uiPriority="0" w:name="table of authorities"/>
    <w:lsdException w:uiPriority="0" w:name="macro"/>
    <w:lsdException w:uiPriority="0" w:name="toa heading"/>
    <w:lsdException w:uiPriority="0" w:name="List"/>
    <w:lsdException w:uiPriority="0" w:name="List Bullet"/>
    <w:lsdException w:unhideWhenUsed="0" w:uiPriority="0" w:semiHidden="0" w:name="List Number"/>
    <w:lsdException w:uiPriority="0" w:name="List 2"/>
    <w:lsdException w:uiPriority="0" w:name="List 3"/>
    <w:lsdException w:unhideWhenUsed="0" w:uiPriority="0" w:semiHidden="0" w:name="List 4"/>
    <w:lsdException w:unhideWhenUsed="0" w:uiPriority="0" w:semiHidden="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uiPriority="1" w:name="Default Paragraph Font"/>
    <w:lsdException w:uiPriority="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uiPriority="0" w:name="Hyperlink"/>
    <w:lsdException w:uiPriority="0" w:name="FollowedHyperlink"/>
    <w:lsdException w:qFormat="1" w:unhideWhenUsed="0" w:uiPriority="0" w:semiHidden="0" w:name="Strong"/>
    <w:lsdException w:qFormat="1" w:unhideWhenUsed="0" w:uiPriority="0" w:semiHidden="0" w:name="Emphasis"/>
    <w:lsdException w:uiPriority="0" w:name="Document Map"/>
    <w:lsdException w:uiPriority="0" w:name="Plain Text"/>
    <w:lsdException w:uiPriority="0" w:name="E-mail Signature"/>
    <w:lsdException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8">
    <w:name w:val="Default Paragraph Font"/>
    <w:semiHidden/>
    <w:unhideWhenUsed/>
    <w:uiPriority w:val="1"/>
  </w:style>
  <w:style w:type="table" w:default="1" w:styleId="6">
    <w:name w:val="Normal Table"/>
    <w:semiHidden/>
    <w:unhideWhenUsed/>
    <w:uiPriority w:val="99"/>
    <w:tblPr>
      <w:tblCellMar>
        <w:top w:w="0" w:type="dxa"/>
        <w:left w:w="108" w:type="dxa"/>
        <w:bottom w:w="0" w:type="dxa"/>
        <w:right w:w="108" w:type="dxa"/>
      </w:tblCellMar>
    </w:tblPr>
  </w:style>
  <w:style w:type="paragraph" w:styleId="2">
    <w:name w:val="Balloon Text"/>
    <w:basedOn w:val="1"/>
    <w:link w:val="21"/>
    <w:uiPriority w:val="0"/>
    <w:rPr>
      <w:sz w:val="18"/>
      <w:szCs w:val="18"/>
    </w:rPr>
  </w:style>
  <w:style w:type="paragraph" w:styleId="3">
    <w:name w:val="footer"/>
    <w:basedOn w:val="1"/>
    <w:qFormat/>
    <w:uiPriority w:val="0"/>
    <w:pPr>
      <w:tabs>
        <w:tab w:val="center" w:pos="4153"/>
        <w:tab w:val="right" w:pos="8306"/>
      </w:tabs>
      <w:snapToGrid w:val="0"/>
      <w:jc w:val="left"/>
    </w:pPr>
    <w:rPr>
      <w:sz w:val="18"/>
      <w:szCs w:val="18"/>
    </w:rPr>
  </w:style>
  <w:style w:type="paragraph" w:styleId="4">
    <w:name w:val="header"/>
    <w:basedOn w:val="1"/>
    <w:link w:val="19"/>
    <w:uiPriority w:val="0"/>
    <w:pPr>
      <w:pBdr>
        <w:bottom w:val="single" w:color="auto" w:sz="6" w:space="1"/>
      </w:pBdr>
      <w:tabs>
        <w:tab w:val="center" w:pos="4153"/>
        <w:tab w:val="right" w:pos="8306"/>
      </w:tabs>
      <w:snapToGrid w:val="0"/>
      <w:jc w:val="center"/>
    </w:pPr>
    <w:rPr>
      <w:sz w:val="18"/>
      <w:szCs w:val="18"/>
    </w:rPr>
  </w:style>
  <w:style w:type="paragraph" w:styleId="5">
    <w:name w:val="Title"/>
    <w:basedOn w:val="1"/>
    <w:next w:val="1"/>
    <w:qFormat/>
    <w:uiPriority w:val="0"/>
    <w:pPr>
      <w:spacing w:before="240" w:after="60"/>
      <w:jc w:val="left"/>
      <w:outlineLvl w:val="0"/>
    </w:pPr>
    <w:rPr>
      <w:rFonts w:ascii="等线 Light" w:hAnsi="等线 Light" w:eastAsia="黑体"/>
      <w:b/>
      <w:bCs/>
      <w:sz w:val="24"/>
      <w:szCs w:val="32"/>
    </w:rPr>
  </w:style>
  <w:style w:type="table" w:styleId="7">
    <w:name w:val="Table Grid"/>
    <w:basedOn w:val="6"/>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
    <w:name w:val="page number"/>
    <w:basedOn w:val="8"/>
    <w:qFormat/>
    <w:uiPriority w:val="0"/>
  </w:style>
  <w:style w:type="paragraph" w:customStyle="1" w:styleId="10">
    <w:name w:val="一级条标题"/>
    <w:next w:val="11"/>
    <w:qFormat/>
    <w:uiPriority w:val="0"/>
    <w:pPr>
      <w:numPr>
        <w:ilvl w:val="1"/>
        <w:numId w:val="1"/>
      </w:numPr>
      <w:spacing w:beforeLines="50" w:afterLines="50"/>
      <w:ind w:left="0"/>
      <w:outlineLvl w:val="2"/>
    </w:pPr>
    <w:rPr>
      <w:rFonts w:ascii="黑体" w:hAnsi="Times New Roman" w:eastAsia="黑体" w:cs="Times New Roman"/>
      <w:sz w:val="21"/>
      <w:szCs w:val="21"/>
      <w:lang w:val="en-US" w:eastAsia="zh-CN" w:bidi="ar-SA"/>
    </w:rPr>
  </w:style>
  <w:style w:type="paragraph" w:customStyle="1" w:styleId="11">
    <w:name w:val="段"/>
    <w:qFormat/>
    <w:uiPriority w:val="0"/>
    <w:pPr>
      <w:autoSpaceDE w:val="0"/>
      <w:autoSpaceDN w:val="0"/>
      <w:ind w:firstLine="200" w:firstLineChars="200"/>
      <w:jc w:val="both"/>
    </w:pPr>
    <w:rPr>
      <w:rFonts w:ascii="宋体" w:hAnsi="宋体" w:eastAsia="宋体" w:cs="Times New Roman"/>
      <w:kern w:val="2"/>
      <w:sz w:val="22"/>
      <w:lang w:val="en-US" w:eastAsia="zh-CN" w:bidi="ar-SA"/>
    </w:rPr>
  </w:style>
  <w:style w:type="character" w:customStyle="1" w:styleId="12">
    <w:name w:val="font11"/>
    <w:basedOn w:val="8"/>
    <w:qFormat/>
    <w:uiPriority w:val="0"/>
    <w:rPr>
      <w:rFonts w:hint="eastAsia" w:ascii="宋体" w:hAnsi="宋体" w:eastAsia="宋体" w:cs="宋体"/>
      <w:color w:val="000000"/>
      <w:sz w:val="22"/>
      <w:szCs w:val="22"/>
      <w:u w:val="none"/>
    </w:rPr>
  </w:style>
  <w:style w:type="character" w:customStyle="1" w:styleId="13">
    <w:name w:val="font21"/>
    <w:basedOn w:val="8"/>
    <w:qFormat/>
    <w:uiPriority w:val="0"/>
    <w:rPr>
      <w:rFonts w:hint="eastAsia" w:ascii="宋体" w:hAnsi="宋体" w:eastAsia="宋体" w:cs="宋体"/>
      <w:color w:val="000000"/>
      <w:sz w:val="22"/>
      <w:szCs w:val="22"/>
      <w:u w:val="none"/>
    </w:rPr>
  </w:style>
  <w:style w:type="paragraph" w:customStyle="1" w:styleId="14">
    <w:name w:val="正文 仿宋_GB2312 四号 行距: 固定值 22 磅"/>
    <w:next w:val="1"/>
    <w:qFormat/>
    <w:uiPriority w:val="0"/>
    <w:pPr>
      <w:spacing w:line="360" w:lineRule="auto"/>
      <w:ind w:firstLine="480" w:firstLineChars="200"/>
      <w:jc w:val="both"/>
    </w:pPr>
    <w:rPr>
      <w:rFonts w:ascii="宋体" w:hAnsi="宋体" w:eastAsia="宋体" w:cs="宋体"/>
      <w:kern w:val="2"/>
      <w:sz w:val="24"/>
      <w:szCs w:val="24"/>
      <w:lang w:val="en-US" w:eastAsia="zh-CN" w:bidi="ar-SA"/>
    </w:rPr>
  </w:style>
  <w:style w:type="paragraph" w:customStyle="1" w:styleId="15">
    <w:name w:val="列出段落1"/>
    <w:basedOn w:val="1"/>
    <w:qFormat/>
    <w:uiPriority w:val="34"/>
    <w:pPr>
      <w:ind w:firstLine="420" w:firstLineChars="200"/>
    </w:pPr>
  </w:style>
  <w:style w:type="paragraph" w:customStyle="1" w:styleId="16">
    <w:name w:val="一 仿宋_GB2312 三号 加粗"/>
    <w:next w:val="1"/>
    <w:qFormat/>
    <w:uiPriority w:val="0"/>
    <w:pPr>
      <w:spacing w:beforeLines="20"/>
      <w:jc w:val="both"/>
      <w:outlineLvl w:val="0"/>
    </w:pPr>
    <w:rPr>
      <w:rFonts w:ascii="黑体" w:hAnsi="宋体" w:eastAsia="黑体" w:cs="Times New Roman"/>
      <w:b/>
      <w:kern w:val="2"/>
      <w:sz w:val="32"/>
      <w:szCs w:val="32"/>
      <w:lang w:val="en-US" w:eastAsia="zh-CN" w:bidi="ar-SA"/>
    </w:rPr>
  </w:style>
  <w:style w:type="paragraph" w:customStyle="1" w:styleId="17">
    <w:name w:val="章标题"/>
    <w:next w:val="11"/>
    <w:qFormat/>
    <w:uiPriority w:val="0"/>
    <w:pPr>
      <w:numPr>
        <w:ilvl w:val="0"/>
        <w:numId w:val="1"/>
      </w:numPr>
      <w:spacing w:beforeLines="100" w:afterLines="100"/>
      <w:jc w:val="both"/>
      <w:outlineLvl w:val="1"/>
    </w:pPr>
    <w:rPr>
      <w:rFonts w:ascii="黑体" w:hAnsi="Times New Roman" w:eastAsia="黑体" w:cs="Times New Roman"/>
      <w:sz w:val="21"/>
      <w:lang w:val="en-US" w:eastAsia="zh-CN" w:bidi="ar-SA"/>
    </w:rPr>
  </w:style>
  <w:style w:type="paragraph" w:customStyle="1" w:styleId="18">
    <w:name w:val="正文表标题"/>
    <w:next w:val="11"/>
    <w:qFormat/>
    <w:uiPriority w:val="99"/>
    <w:pPr>
      <w:tabs>
        <w:tab w:val="left" w:pos="360"/>
      </w:tabs>
      <w:spacing w:beforeLines="50" w:afterLines="50"/>
      <w:jc w:val="center"/>
    </w:pPr>
    <w:rPr>
      <w:rFonts w:ascii="黑体" w:hAnsi="Times New Roman" w:eastAsia="黑体" w:cs="Times New Roman"/>
      <w:sz w:val="21"/>
      <w:lang w:val="en-US" w:eastAsia="zh-CN" w:bidi="ar-SA"/>
    </w:rPr>
  </w:style>
  <w:style w:type="character" w:customStyle="1" w:styleId="19">
    <w:name w:val="页眉 字符"/>
    <w:basedOn w:val="8"/>
    <w:link w:val="4"/>
    <w:uiPriority w:val="0"/>
    <w:rPr>
      <w:kern w:val="2"/>
      <w:sz w:val="18"/>
      <w:szCs w:val="18"/>
    </w:rPr>
  </w:style>
  <w:style w:type="paragraph" w:styleId="20">
    <w:name w:val="List Paragraph"/>
    <w:basedOn w:val="1"/>
    <w:uiPriority w:val="99"/>
    <w:pPr>
      <w:ind w:firstLine="420" w:firstLineChars="200"/>
    </w:pPr>
  </w:style>
  <w:style w:type="character" w:customStyle="1" w:styleId="21">
    <w:name w:val="批注框文本 字符"/>
    <w:basedOn w:val="8"/>
    <w:link w:val="2"/>
    <w:uiPriority w:val="0"/>
    <w:rPr>
      <w:kern w:val="2"/>
      <w:sz w:val="18"/>
      <w:szCs w:val="18"/>
    </w:rPr>
  </w:style>
  <w:style w:type="character" w:customStyle="1" w:styleId="22">
    <w:name w:val="fontstyle01"/>
    <w:basedOn w:val="8"/>
    <w:uiPriority w:val="0"/>
    <w:rPr>
      <w:rFonts w:hint="eastAsia" w:ascii="黑体" w:hAnsi="黑体" w:eastAsia="黑体"/>
      <w:color w:val="000000"/>
      <w:sz w:val="48"/>
      <w:szCs w:val="48"/>
    </w:rPr>
  </w:style>
  <w:style w:type="character" w:customStyle="1" w:styleId="23">
    <w:name w:val="fontstyle11"/>
    <w:basedOn w:val="8"/>
    <w:uiPriority w:val="0"/>
    <w:rPr>
      <w:rFonts w:hint="default" w:ascii="E-BZ" w:hAnsi="E-BZ"/>
      <w:color w:val="000000"/>
      <w:sz w:val="20"/>
      <w:szCs w:val="20"/>
    </w:rPr>
  </w:style>
  <w:style w:type="character" w:customStyle="1" w:styleId="24">
    <w:name w:val="fontstyle21"/>
    <w:basedOn w:val="8"/>
    <w:uiPriority w:val="0"/>
    <w:rPr>
      <w:rFonts w:hint="default" w:ascii="E-FZ" w:hAnsi="E-FZ"/>
      <w:color w:val="000000"/>
      <w:sz w:val="20"/>
      <w:szCs w:val="20"/>
    </w:rPr>
  </w:style>
  <w:style w:type="character" w:customStyle="1" w:styleId="25">
    <w:name w:val="fontstyle31"/>
    <w:basedOn w:val="8"/>
    <w:uiPriority w:val="0"/>
    <w:rPr>
      <w:rFonts w:hint="default" w:ascii="E-BZ" w:hAnsi="E-BZ"/>
      <w:color w:val="000000"/>
      <w:sz w:val="20"/>
      <w:szCs w:val="20"/>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chart" Target="charts/chart2.xml"/><Relationship Id="rId6" Type="http://schemas.openxmlformats.org/officeDocument/2006/relationships/chart" Target="charts/chart1.xml"/><Relationship Id="rId5" Type="http://schemas.openxmlformats.org/officeDocument/2006/relationships/image" Target="media/image1.png"/><Relationship Id="rId49" Type="http://schemas.openxmlformats.org/officeDocument/2006/relationships/fontTable" Target="fontTable.xml"/><Relationship Id="rId48" Type="http://schemas.openxmlformats.org/officeDocument/2006/relationships/numbering" Target="numbering.xml"/><Relationship Id="rId47" Type="http://schemas.openxmlformats.org/officeDocument/2006/relationships/image" Target="media/image41.png"/><Relationship Id="rId46" Type="http://schemas.openxmlformats.org/officeDocument/2006/relationships/image" Target="media/image40.png"/><Relationship Id="rId45" Type="http://schemas.openxmlformats.org/officeDocument/2006/relationships/image" Target="media/image39.png"/><Relationship Id="rId44" Type="http://schemas.openxmlformats.org/officeDocument/2006/relationships/image" Target="media/image38.png"/><Relationship Id="rId43" Type="http://schemas.openxmlformats.org/officeDocument/2006/relationships/image" Target="media/image37.png"/><Relationship Id="rId42" Type="http://schemas.openxmlformats.org/officeDocument/2006/relationships/image" Target="media/image36.png"/><Relationship Id="rId41" Type="http://schemas.openxmlformats.org/officeDocument/2006/relationships/image" Target="media/image35.png"/><Relationship Id="rId40" Type="http://schemas.openxmlformats.org/officeDocument/2006/relationships/image" Target="media/image34.png"/><Relationship Id="rId4" Type="http://schemas.openxmlformats.org/officeDocument/2006/relationships/theme" Target="theme/theme1.xml"/><Relationship Id="rId39" Type="http://schemas.openxmlformats.org/officeDocument/2006/relationships/image" Target="media/image33.png"/><Relationship Id="rId38" Type="http://schemas.openxmlformats.org/officeDocument/2006/relationships/image" Target="media/image32.png"/><Relationship Id="rId37" Type="http://schemas.openxmlformats.org/officeDocument/2006/relationships/image" Target="media/image31.png"/><Relationship Id="rId36" Type="http://schemas.openxmlformats.org/officeDocument/2006/relationships/image" Target="media/image30.png"/><Relationship Id="rId35" Type="http://schemas.openxmlformats.org/officeDocument/2006/relationships/image" Target="media/image29.png"/><Relationship Id="rId34" Type="http://schemas.openxmlformats.org/officeDocument/2006/relationships/image" Target="media/image28.png"/><Relationship Id="rId33" Type="http://schemas.openxmlformats.org/officeDocument/2006/relationships/image" Target="media/image27.png"/><Relationship Id="rId32" Type="http://schemas.openxmlformats.org/officeDocument/2006/relationships/image" Target="media/image26.png"/><Relationship Id="rId31" Type="http://schemas.openxmlformats.org/officeDocument/2006/relationships/image" Target="media/image25.png"/><Relationship Id="rId30" Type="http://schemas.openxmlformats.org/officeDocument/2006/relationships/image" Target="media/image24.png"/><Relationship Id="rId3" Type="http://schemas.openxmlformats.org/officeDocument/2006/relationships/footer" Target="footer1.xml"/><Relationship Id="rId29" Type="http://schemas.openxmlformats.org/officeDocument/2006/relationships/image" Target="media/image23.png"/><Relationship Id="rId28" Type="http://schemas.openxmlformats.org/officeDocument/2006/relationships/image" Target="media/image22.png"/><Relationship Id="rId27" Type="http://schemas.openxmlformats.org/officeDocument/2006/relationships/image" Target="media/image21.png"/><Relationship Id="rId26" Type="http://schemas.openxmlformats.org/officeDocument/2006/relationships/image" Target="media/image20.png"/><Relationship Id="rId25" Type="http://schemas.openxmlformats.org/officeDocument/2006/relationships/image" Target="media/image19.png"/><Relationship Id="rId24" Type="http://schemas.openxmlformats.org/officeDocument/2006/relationships/image" Target="media/image18.png"/><Relationship Id="rId23" Type="http://schemas.openxmlformats.org/officeDocument/2006/relationships/image" Target="media/image17.png"/><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charts/_rels/chart1.xml.rels><?xml version="1.0" encoding="UTF-8" standalone="yes"?>
<Relationships xmlns="http://schemas.openxmlformats.org/package/2006/relationships"><Relationship Id="rId1" Type="http://schemas.openxmlformats.org/officeDocument/2006/relationships/oleObject" Target="../embeddings/oleObject1.bin"/></Relationships>
</file>

<file path=word/charts/_rels/chart2.xml.rels><?xml version="1.0" encoding="UTF-8" standalone="yes"?>
<Relationships xmlns="http://schemas.openxmlformats.org/package/2006/relationships"><Relationship Id="rId1" Type="http://schemas.openxmlformats.org/officeDocument/2006/relationships/oleObject" Target="file:///C:\Users\Scorpion\Desktop\&#38468;&#20214;2&#65306;&#36149;&#24030;&#30465;&#38081;&#30382;&#30707;&#26011;&#20135;&#19994;&#35843;&#26597;&#27719;&#24635;&#34920;&#65288;&#25277;&#26679;&#34920;&#65289;.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0949937007874016"/>
          <c:y val="0.131163846733691"/>
          <c:w val="0.871795540330765"/>
          <c:h val="0.548230516461033"/>
        </c:manualLayout>
      </c:layout>
      <c:lineChart>
        <c:grouping val="standard"/>
        <c:varyColors val="0"/>
        <c:ser>
          <c:idx val="0"/>
          <c:order val="0"/>
          <c:tx>
            <c:strRef>
              <c:f>Sheet3!$B$1</c:f>
              <c:strCache>
                <c:ptCount val="1"/>
                <c:pt idx="0">
                  <c:v>年种苗生产能力（万丛）</c:v>
                </c:pt>
              </c:strCache>
            </c:strRef>
          </c:tx>
          <c:spPr>
            <a:ln w="28575" cap="rnd" cmpd="sng" algn="ctr">
              <a:solidFill>
                <a:schemeClr val="accent1"/>
              </a:solidFill>
              <a:prstDash val="solid"/>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solidFill>
                    <a:latin typeface="Times New Roman" panose="02020603050405020304" charset="0"/>
                    <a:ea typeface="+mn-ea"/>
                    <a:cs typeface="Times New Roman" panose="02020603050405020304" charset="0"/>
                  </a:defRPr>
                </a:pPr>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prstDash val="solid"/>
                      <a:round/>
                    </a:ln>
                    <a:effectLst/>
                  </c:spPr>
                </c15:leaderLines>
              </c:ext>
            </c:extLst>
          </c:dLbls>
          <c:cat>
            <c:strRef>
              <c:f>Sheet3!$A$2:$A$15</c:f>
              <c:strCache>
                <c:ptCount val="14"/>
                <c:pt idx="0">
                  <c:v>贵阳市</c:v>
                </c:pt>
                <c:pt idx="1">
                  <c:v>安顺市</c:v>
                </c:pt>
                <c:pt idx="2">
                  <c:v>遵义市</c:v>
                </c:pt>
                <c:pt idx="3">
                  <c:v>毕节市</c:v>
                </c:pt>
                <c:pt idx="4">
                  <c:v>六盘水市</c:v>
                </c:pt>
                <c:pt idx="5">
                  <c:v>铜仁市（不包含沿河）</c:v>
                </c:pt>
                <c:pt idx="6">
                  <c:v>沿河县</c:v>
                </c:pt>
                <c:pt idx="7">
                  <c:v>黔东南州</c:v>
                </c:pt>
                <c:pt idx="8">
                  <c:v>黔南州（不包含独山、荔波）</c:v>
                </c:pt>
                <c:pt idx="9">
                  <c:v>荔波县</c:v>
                </c:pt>
                <c:pt idx="10">
                  <c:v>独山县</c:v>
                </c:pt>
                <c:pt idx="11">
                  <c:v>黔西南州（不包括安龙、兴义）</c:v>
                </c:pt>
                <c:pt idx="12">
                  <c:v>兴义市</c:v>
                </c:pt>
                <c:pt idx="13">
                  <c:v>安龙县</c:v>
                </c:pt>
              </c:strCache>
            </c:strRef>
          </c:cat>
          <c:val>
            <c:numRef>
              <c:f>Sheet3!$B$2:$B$15</c:f>
              <c:numCache>
                <c:formatCode>General</c:formatCode>
                <c:ptCount val="14"/>
                <c:pt idx="0">
                  <c:v>200</c:v>
                </c:pt>
                <c:pt idx="1">
                  <c:v>3000</c:v>
                </c:pt>
                <c:pt idx="2">
                  <c:v>0</c:v>
                </c:pt>
                <c:pt idx="3">
                  <c:v>0</c:v>
                </c:pt>
                <c:pt idx="4">
                  <c:v>1000</c:v>
                </c:pt>
                <c:pt idx="5">
                  <c:v>0</c:v>
                </c:pt>
                <c:pt idx="6">
                  <c:v>5000</c:v>
                </c:pt>
                <c:pt idx="7">
                  <c:v>200</c:v>
                </c:pt>
                <c:pt idx="8">
                  <c:v>30</c:v>
                </c:pt>
                <c:pt idx="9">
                  <c:v>0</c:v>
                </c:pt>
                <c:pt idx="10">
                  <c:v>1500</c:v>
                </c:pt>
                <c:pt idx="11">
                  <c:v>0</c:v>
                </c:pt>
                <c:pt idx="12">
                  <c:v>2500</c:v>
                </c:pt>
                <c:pt idx="13">
                  <c:v>4200</c:v>
                </c:pt>
              </c:numCache>
            </c:numRef>
          </c:val>
          <c:smooth val="0"/>
        </c:ser>
        <c:ser>
          <c:idx val="1"/>
          <c:order val="1"/>
          <c:tx>
            <c:strRef>
              <c:f>Sheet3!$C$1</c:f>
              <c:strCache>
                <c:ptCount val="1"/>
                <c:pt idx="0">
                  <c:v>大棚（亩）</c:v>
                </c:pt>
              </c:strCache>
            </c:strRef>
          </c:tx>
          <c:spPr>
            <a:ln w="28575" cap="rnd" cmpd="sng" algn="ctr">
              <a:solidFill>
                <a:schemeClr val="accent2"/>
              </a:solidFill>
              <a:prstDash val="solid"/>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prstDash val="solid"/>
                      <a:round/>
                    </a:ln>
                    <a:effectLst/>
                  </c:spPr>
                </c15:leaderLines>
              </c:ext>
            </c:extLst>
          </c:dLbls>
          <c:cat>
            <c:strRef>
              <c:f>Sheet3!$A$2:$A$15</c:f>
              <c:strCache>
                <c:ptCount val="14"/>
                <c:pt idx="0">
                  <c:v>贵阳市</c:v>
                </c:pt>
                <c:pt idx="1">
                  <c:v>安顺市</c:v>
                </c:pt>
                <c:pt idx="2">
                  <c:v>遵义市</c:v>
                </c:pt>
                <c:pt idx="3">
                  <c:v>毕节市</c:v>
                </c:pt>
                <c:pt idx="4">
                  <c:v>六盘水市</c:v>
                </c:pt>
                <c:pt idx="5">
                  <c:v>铜仁市（不包含沿河）</c:v>
                </c:pt>
                <c:pt idx="6">
                  <c:v>沿河县</c:v>
                </c:pt>
                <c:pt idx="7">
                  <c:v>黔东南州</c:v>
                </c:pt>
                <c:pt idx="8">
                  <c:v>黔南州（不包含独山、荔波）</c:v>
                </c:pt>
                <c:pt idx="9">
                  <c:v>荔波县</c:v>
                </c:pt>
                <c:pt idx="10">
                  <c:v>独山县</c:v>
                </c:pt>
                <c:pt idx="11">
                  <c:v>黔西南州（不包括安龙、兴义）</c:v>
                </c:pt>
                <c:pt idx="12">
                  <c:v>兴义市</c:v>
                </c:pt>
                <c:pt idx="13">
                  <c:v>安龙县</c:v>
                </c:pt>
              </c:strCache>
            </c:strRef>
          </c:cat>
          <c:val>
            <c:numRef>
              <c:f>Sheet3!$C$2:$C$15</c:f>
              <c:numCache>
                <c:formatCode>General</c:formatCode>
                <c:ptCount val="14"/>
                <c:pt idx="0">
                  <c:v>123</c:v>
                </c:pt>
                <c:pt idx="1">
                  <c:v>15</c:v>
                </c:pt>
                <c:pt idx="2">
                  <c:v>500</c:v>
                </c:pt>
                <c:pt idx="3">
                  <c:v>85</c:v>
                </c:pt>
                <c:pt idx="4">
                  <c:v>14.4</c:v>
                </c:pt>
                <c:pt idx="5">
                  <c:v>0</c:v>
                </c:pt>
                <c:pt idx="6">
                  <c:v>300</c:v>
                </c:pt>
                <c:pt idx="7">
                  <c:v>55</c:v>
                </c:pt>
                <c:pt idx="8">
                  <c:v>433.89</c:v>
                </c:pt>
                <c:pt idx="9">
                  <c:v>60</c:v>
                </c:pt>
                <c:pt idx="10">
                  <c:v>900</c:v>
                </c:pt>
                <c:pt idx="11">
                  <c:v>250</c:v>
                </c:pt>
                <c:pt idx="12">
                  <c:v>73</c:v>
                </c:pt>
                <c:pt idx="13">
                  <c:v>234</c:v>
                </c:pt>
              </c:numCache>
            </c:numRef>
          </c:val>
          <c:smooth val="0"/>
        </c:ser>
        <c:ser>
          <c:idx val="2"/>
          <c:order val="2"/>
          <c:tx>
            <c:strRef>
              <c:f>Sheet3!$D$1</c:f>
              <c:strCache>
                <c:ptCount val="1"/>
                <c:pt idx="0">
                  <c:v>仿野生（亩）</c:v>
                </c:pt>
              </c:strCache>
            </c:strRef>
          </c:tx>
          <c:spPr>
            <a:ln w="28575" cap="rnd" cmpd="sng" algn="ctr">
              <a:solidFill>
                <a:schemeClr val="accent3"/>
              </a:solidFill>
              <a:prstDash val="solid"/>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lang="zh-CN" sz="900" b="1" i="0" u="none" strike="noStrike" kern="1200" baseline="0">
                    <a:solidFill>
                      <a:schemeClr val="tx1">
                        <a:lumMod val="75000"/>
                        <a:lumOff val="25000"/>
                      </a:schemeClr>
                    </a:solidFill>
                    <a:latin typeface="Times New Roman" panose="02020603050405020304" charset="0"/>
                    <a:ea typeface="+mn-ea"/>
                    <a:cs typeface="Times New Roman" panose="02020603050405020304" charset="0"/>
                  </a:defRPr>
                </a:pPr>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prstDash val="solid"/>
                      <a:round/>
                    </a:ln>
                    <a:effectLst/>
                  </c:spPr>
                </c15:leaderLines>
              </c:ext>
            </c:extLst>
          </c:dLbls>
          <c:cat>
            <c:strRef>
              <c:f>Sheet3!$A$2:$A$15</c:f>
              <c:strCache>
                <c:ptCount val="14"/>
                <c:pt idx="0">
                  <c:v>贵阳市</c:v>
                </c:pt>
                <c:pt idx="1">
                  <c:v>安顺市</c:v>
                </c:pt>
                <c:pt idx="2">
                  <c:v>遵义市</c:v>
                </c:pt>
                <c:pt idx="3">
                  <c:v>毕节市</c:v>
                </c:pt>
                <c:pt idx="4">
                  <c:v>六盘水市</c:v>
                </c:pt>
                <c:pt idx="5">
                  <c:v>铜仁市（不包含沿河）</c:v>
                </c:pt>
                <c:pt idx="6">
                  <c:v>沿河县</c:v>
                </c:pt>
                <c:pt idx="7">
                  <c:v>黔东南州</c:v>
                </c:pt>
                <c:pt idx="8">
                  <c:v>黔南州（不包含独山、荔波）</c:v>
                </c:pt>
                <c:pt idx="9">
                  <c:v>荔波县</c:v>
                </c:pt>
                <c:pt idx="10">
                  <c:v>独山县</c:v>
                </c:pt>
                <c:pt idx="11">
                  <c:v>黔西南州（不包括安龙、兴义）</c:v>
                </c:pt>
                <c:pt idx="12">
                  <c:v>兴义市</c:v>
                </c:pt>
                <c:pt idx="13">
                  <c:v>安龙县</c:v>
                </c:pt>
              </c:strCache>
            </c:strRef>
          </c:cat>
          <c:val>
            <c:numRef>
              <c:f>Sheet3!$D$2:$D$15</c:f>
              <c:numCache>
                <c:formatCode>General</c:formatCode>
                <c:ptCount val="14"/>
                <c:pt idx="0">
                  <c:v>450</c:v>
                </c:pt>
                <c:pt idx="1">
                  <c:v>3</c:v>
                </c:pt>
                <c:pt idx="2">
                  <c:v>0</c:v>
                </c:pt>
                <c:pt idx="3">
                  <c:v>20</c:v>
                </c:pt>
                <c:pt idx="4">
                  <c:v>0</c:v>
                </c:pt>
                <c:pt idx="5">
                  <c:v>3749</c:v>
                </c:pt>
                <c:pt idx="6">
                  <c:v>1000</c:v>
                </c:pt>
                <c:pt idx="7">
                  <c:v>2235</c:v>
                </c:pt>
                <c:pt idx="8">
                  <c:v>290</c:v>
                </c:pt>
                <c:pt idx="9">
                  <c:v>680</c:v>
                </c:pt>
                <c:pt idx="10">
                  <c:v>3000</c:v>
                </c:pt>
                <c:pt idx="11">
                  <c:v>550</c:v>
                </c:pt>
                <c:pt idx="12">
                  <c:v>1900</c:v>
                </c:pt>
                <c:pt idx="13">
                  <c:v>5410</c:v>
                </c:pt>
              </c:numCache>
            </c:numRef>
          </c:val>
          <c:smooth val="0"/>
        </c:ser>
        <c:dLbls>
          <c:showLegendKey val="0"/>
          <c:showVal val="1"/>
          <c:showCatName val="0"/>
          <c:showSerName val="0"/>
          <c:showPercent val="0"/>
          <c:showBubbleSize val="0"/>
        </c:dLbls>
        <c:marker val="0"/>
        <c:smooth val="0"/>
        <c:axId val="185018624"/>
        <c:axId val="186228736"/>
      </c:lineChart>
      <c:catAx>
        <c:axId val="185018624"/>
        <c:scaling>
          <c:orientation val="minMax"/>
        </c:scaling>
        <c:delete val="0"/>
        <c:axPos val="b"/>
        <c:numFmt formatCode="General" sourceLinked="0"/>
        <c:majorTickMark val="in"/>
        <c:minorTickMark val="none"/>
        <c:tickLblPos val="nextTo"/>
        <c:spPr>
          <a:noFill/>
          <a:ln w="9525" cap="flat" cmpd="sng" algn="ctr">
            <a:solidFill>
              <a:schemeClr val="tx1"/>
            </a:solidFill>
            <a:prstDash val="solid"/>
            <a:round/>
          </a:ln>
          <a:effectLst/>
        </c:spPr>
        <c:txPr>
          <a:bodyPr rot="-60000000" spcFirstLastPara="1" vertOverflow="ellipsis" vert="horz" wrap="square" anchor="ctr" anchorCtr="1"/>
          <a:lstStyle/>
          <a:p>
            <a:pPr>
              <a:defRPr lang="zh-CN" sz="900" b="1" i="0" u="none" strike="noStrike" kern="1200" baseline="0">
                <a:solidFill>
                  <a:schemeClr val="tx1"/>
                </a:solidFill>
                <a:latin typeface="+mn-ea"/>
                <a:ea typeface="+mn-ea"/>
                <a:cs typeface="+mn-cs"/>
              </a:defRPr>
            </a:pPr>
          </a:p>
        </c:txPr>
        <c:crossAx val="186228736"/>
        <c:crosses val="autoZero"/>
        <c:auto val="1"/>
        <c:lblAlgn val="ctr"/>
        <c:lblOffset val="100"/>
        <c:noMultiLvlLbl val="0"/>
      </c:catAx>
      <c:valAx>
        <c:axId val="186228736"/>
        <c:scaling>
          <c:orientation val="minMax"/>
        </c:scaling>
        <c:delete val="0"/>
        <c:axPos val="l"/>
        <c:majorGridlines>
          <c:spPr>
            <a:ln w="9525" cap="flat" cmpd="sng" algn="ctr">
              <a:solidFill>
                <a:schemeClr val="tx1">
                  <a:lumMod val="15000"/>
                  <a:lumOff val="85000"/>
                </a:schemeClr>
              </a:solidFill>
              <a:prstDash val="solid"/>
              <a:round/>
            </a:ln>
            <a:effectLst/>
          </c:spPr>
        </c:majorGridlines>
        <c:numFmt formatCode="General" sourceLinked="1"/>
        <c:majorTickMark val="in"/>
        <c:minorTickMark val="none"/>
        <c:tickLblPos val="nextTo"/>
        <c:spPr>
          <a:noFill/>
          <a:ln w="6350" cap="flat" cmpd="sng" algn="ctr">
            <a:solidFill>
              <a:schemeClr val="tx1"/>
            </a:solidFill>
            <a:prstDash val="solid"/>
            <a:round/>
          </a:ln>
          <a:effectLst/>
        </c:spPr>
        <c:txPr>
          <a:bodyPr rot="-60000000" spcFirstLastPara="1" vertOverflow="ellipsis" vert="horz" wrap="square" anchor="ctr" anchorCtr="1"/>
          <a:lstStyle/>
          <a:p>
            <a:pPr>
              <a:defRPr lang="zh-CN" sz="1000" b="1" i="0" u="none" strike="noStrike" kern="1200" baseline="0">
                <a:ln>
                  <a:noFill/>
                </a:ln>
                <a:solidFill>
                  <a:schemeClr val="tx1"/>
                </a:solidFill>
                <a:latin typeface="Times New Roman" panose="02020603050405020304" charset="0"/>
                <a:ea typeface="+mn-ea"/>
                <a:cs typeface="Times New Roman" panose="02020603050405020304" charset="0"/>
              </a:defRPr>
            </a:pPr>
          </a:p>
        </c:txPr>
        <c:crossAx val="185018624"/>
        <c:crosses val="autoZero"/>
        <c:crossBetween val="between"/>
      </c:valAx>
      <c:spPr>
        <a:noFill/>
        <a:ln>
          <a:noFill/>
        </a:ln>
        <a:effectLst/>
      </c:spPr>
    </c:plotArea>
    <c:legend>
      <c:legendPos val="b"/>
      <c:layout>
        <c:manualLayout>
          <c:xMode val="edge"/>
          <c:yMode val="edge"/>
          <c:x val="0.100101884870097"/>
          <c:y val="0.0516727633455267"/>
          <c:w val="0.827621228956161"/>
          <c:h val="0.0627934155868312"/>
        </c:manualLayout>
      </c:layout>
      <c:overlay val="0"/>
      <c:spPr>
        <a:noFill/>
        <a:ln>
          <a:noFill/>
        </a:ln>
        <a:effectLst/>
      </c:spPr>
      <c:txPr>
        <a:bodyPr rot="0" spcFirstLastPara="1" vertOverflow="ellipsis" vert="horz" wrap="square" anchor="ctr" anchorCtr="1"/>
        <a:lstStyle/>
        <a:p>
          <a:pPr>
            <a:defRPr lang="zh-CN" sz="900" b="1" i="0" u="none" strike="noStrike" kern="1200" baseline="0">
              <a:solidFill>
                <a:schemeClr val="tx1"/>
              </a:solidFill>
              <a:latin typeface="+mn-ea"/>
              <a:ea typeface="+mn-ea"/>
              <a:cs typeface="+mn-cs"/>
            </a:defRPr>
          </a:pPr>
        </a:p>
      </c:txPr>
    </c:legend>
    <c:plotVisOnly val="1"/>
    <c:dispBlanksAs val="gap"/>
    <c:showDLblsOverMax val="0"/>
  </c:chart>
  <c:spPr>
    <a:solidFill>
      <a:schemeClr val="bg1"/>
    </a:solidFill>
    <a:ln w="9525" cap="flat" cmpd="sng" algn="ctr">
      <a:noFill/>
      <a:prstDash val="solid"/>
      <a:round/>
    </a:ln>
    <a:effectLst/>
  </c:spPr>
  <c:txPr>
    <a:bodyPr/>
    <a:lstStyle/>
    <a:p>
      <a:pPr>
        <a:defRPr lang="zh-CN"/>
      </a:pP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layout/>
      <c:overlay val="0"/>
      <c:txPr>
        <a:bodyPr rot="0" spcFirstLastPara="0" vertOverflow="ellipsis" vert="horz" wrap="square" anchor="ctr" anchorCtr="1"/>
        <a:lstStyle/>
        <a:p>
          <a:pPr>
            <a:defRPr lang="zh-CN" sz="1800" b="1" i="0" u="none" strike="noStrike" kern="1200" baseline="0">
              <a:solidFill>
                <a:schemeClr val="tx1"/>
              </a:solidFill>
              <a:latin typeface="+mn-lt"/>
              <a:ea typeface="+mn-ea"/>
              <a:cs typeface="+mn-cs"/>
            </a:defRPr>
          </a:pPr>
        </a:p>
      </c:txPr>
    </c:title>
    <c:autoTitleDeleted val="0"/>
    <c:plotArea>
      <c:layout/>
      <c:pieChart>
        <c:varyColors val="1"/>
        <c:ser>
          <c:idx val="0"/>
          <c:order val="0"/>
          <c:tx>
            <c:strRef>
              <c:f>Sheet3!$B$51</c:f>
              <c:strCache>
                <c:ptCount val="1"/>
                <c:pt idx="0">
                  <c:v>仿野生（亩）</c:v>
                </c:pt>
              </c:strCache>
            </c:strRef>
          </c:tx>
          <c:explosion val="0"/>
          <c:dPt>
            <c:idx val="0"/>
            <c:bubble3D val="0"/>
          </c:dPt>
          <c:dPt>
            <c:idx val="1"/>
            <c:bubble3D val="0"/>
          </c:dPt>
          <c:dLbls>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solidFill>
                    <a:latin typeface="Times New Roman" panose="02020603050405020304" charset="0"/>
                    <a:ea typeface="+mn-ea"/>
                    <a:cs typeface="Times New Roman" panose="02020603050405020304" charset="0"/>
                  </a:defRPr>
                </a:pPr>
              </a:p>
            </c:txPr>
            <c:dLblPos val="bestFit"/>
            <c:showLegendKey val="0"/>
            <c:showVal val="0"/>
            <c:showCatName val="0"/>
            <c:showSerName val="0"/>
            <c:showPercent val="1"/>
            <c:showBubbleSize val="0"/>
            <c:showLeaderLines val="1"/>
            <c:extLst>
              <c:ext xmlns:c15="http://schemas.microsoft.com/office/drawing/2012/chart" uri="{CE6537A1-D6FC-4f65-9D91-7224C49458BB}">
                <c15:layout/>
                <c15:showLeaderLines val="1"/>
                <c15:leaderLines/>
              </c:ext>
            </c:extLst>
          </c:dLbls>
          <c:cat>
            <c:strRef>
              <c:f>Sheet3!$A$52:$A$53</c:f>
              <c:strCache>
                <c:ptCount val="2"/>
                <c:pt idx="0">
                  <c:v>兴义、安龙、荔波、独山、沿河</c:v>
                </c:pt>
                <c:pt idx="1">
                  <c:v>贵州省其他县市</c:v>
                </c:pt>
              </c:strCache>
            </c:strRef>
          </c:cat>
          <c:val>
            <c:numRef>
              <c:f>Sheet3!$B$52:$B$53</c:f>
              <c:numCache>
                <c:formatCode>General</c:formatCode>
                <c:ptCount val="2"/>
                <c:pt idx="0">
                  <c:v>11990</c:v>
                </c:pt>
                <c:pt idx="1">
                  <c:v>7297</c:v>
                </c:pt>
              </c:numCache>
            </c:numRef>
          </c:val>
        </c:ser>
        <c:dLbls>
          <c:showLegendKey val="0"/>
          <c:showVal val="0"/>
          <c:showCatName val="0"/>
          <c:showSerName val="0"/>
          <c:showPercent val="1"/>
          <c:showBubbleSize val="0"/>
          <c:showLeaderLines val="1"/>
        </c:dLbls>
        <c:firstSliceAng val="0"/>
      </c:pieChart>
    </c:plotArea>
    <c:legend>
      <c:legendPos val="t"/>
      <c:layout/>
      <c:overlay val="0"/>
      <c:txPr>
        <a:bodyPr rot="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legend>
    <c:plotVisOnly val="1"/>
    <c:dispBlanksAs val="gap"/>
    <c:showDLblsOverMax val="0"/>
  </c:chart>
  <c:spPr>
    <a:ln w="6350" cap="flat" cmpd="sng" algn="ctr">
      <a:noFill/>
      <a:prstDash val="solid"/>
      <a:round/>
    </a:ln>
  </c:spPr>
  <c:txPr>
    <a:bodyPr/>
    <a:lstStyle/>
    <a:p>
      <a:pPr>
        <a:defRPr lang="zh-CN"/>
      </a:pPr>
    </a:p>
  </c:txPr>
  <c:externalData r:id="rId1">
    <c:autoUpdate val="0"/>
  </c:externalData>
</c:chartSpac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Company>微软中国</Company>
  <Pages>54</Pages>
  <Words>10753</Words>
  <Characters>14120</Characters>
  <Lines>107</Lines>
  <Paragraphs>30</Paragraphs>
  <TotalTime>1393</TotalTime>
  <ScaleCrop>false</ScaleCrop>
  <LinksUpToDate>false</LinksUpToDate>
  <CharactersWithSpaces>14440</CharactersWithSpaces>
  <Application>WPS Office_12.1.0.16929_F1E327BC-269C-435d-A152-05C5408002CA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2019-08-12T02:46:00Z</dcterms:created>
  <dc:creator>ASD</dc:creator>
  <cp:lastModifiedBy>yuyuyuyuyu</cp:lastModifiedBy>
  <cp:lastPrinted>2019-12-26T13:58:00Z</cp:lastPrinted>
  <dcterms:modified xsi:type="dcterms:W3CDTF">2024-06-03T08:10:44Z</dcterms:modified>
  <cp:revision>139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2052-12.1.0.16929</vt:lpwstr>
  </property>
  <property fmtid="{D5CDD505-2E9C-101B-9397-08002B2CF9AE}" pid="3" name="ICV">
    <vt:lpwstr>CB0BC9A013354101879D467B737F1397_12</vt:lpwstr>
  </property>
</Properties>
</file>